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5C8EF">
      <w:pPr>
        <w:snapToGrid w:val="0"/>
        <w:spacing w:before="100" w:beforeAutospacing="1" w:after="100" w:afterAutospacing="1"/>
        <w:jc w:val="center"/>
        <w:rPr>
          <w:rFonts w:hint="eastAsia"/>
        </w:rPr>
      </w:pPr>
      <w:r>
        <w:rPr>
          <w:rFonts w:hint="eastAsia"/>
          <w:b/>
          <w:kern w:val="0"/>
          <w:sz w:val="32"/>
          <w:szCs w:val="28"/>
        </w:rPr>
        <w:t>N</w:t>
      </w:r>
      <w:r>
        <w:rPr>
          <w:b/>
          <w:kern w:val="0"/>
          <w:sz w:val="32"/>
          <w:szCs w:val="28"/>
        </w:rPr>
        <w:t>B-IOT</w:t>
      </w:r>
      <w:r>
        <w:rPr>
          <w:rFonts w:hint="eastAsia"/>
          <w:b/>
          <w:kern w:val="0"/>
          <w:sz w:val="32"/>
          <w:szCs w:val="28"/>
          <w:lang w:val="en-US" w:eastAsia="zh-CN"/>
        </w:rPr>
        <w:t>无磁</w:t>
      </w:r>
      <w:r>
        <w:rPr>
          <w:rFonts w:hint="eastAsia"/>
          <w:b/>
          <w:kern w:val="0"/>
          <w:sz w:val="32"/>
          <w:szCs w:val="28"/>
        </w:rPr>
        <w:t>远传</w:t>
      </w:r>
      <w:r>
        <w:rPr>
          <w:rFonts w:hint="eastAsia"/>
          <w:b/>
          <w:kern w:val="0"/>
          <w:sz w:val="32"/>
          <w:szCs w:val="28"/>
          <w:lang w:val="en-US" w:eastAsia="zh-CN"/>
        </w:rPr>
        <w:t>不锈钢</w:t>
      </w:r>
      <w:r>
        <w:rPr>
          <w:rFonts w:hint="eastAsia"/>
          <w:b/>
          <w:kern w:val="0"/>
          <w:sz w:val="32"/>
          <w:szCs w:val="28"/>
        </w:rPr>
        <w:t>水表技术参数要求</w:t>
      </w:r>
    </w:p>
    <w:p w14:paraId="4237DA13">
      <w:pPr>
        <w:snapToGrid w:val="0"/>
        <w:spacing w:before="100" w:beforeAutospacing="1" w:after="100" w:afterAutospacing="1"/>
        <w:ind w:firstLine="241" w:firstLineChars="100"/>
        <w:rPr>
          <w:rFonts w:hint="eastAsia"/>
          <w:b/>
          <w:kern w:val="0"/>
          <w:sz w:val="24"/>
          <w:szCs w:val="21"/>
        </w:rPr>
      </w:pPr>
    </w:p>
    <w:p w14:paraId="64A1A31E">
      <w:pPr>
        <w:snapToGrid w:val="0"/>
        <w:spacing w:before="100" w:beforeAutospacing="1" w:after="100" w:afterAutospacing="1"/>
        <w:ind w:firstLine="241" w:firstLineChars="100"/>
        <w:rPr>
          <w:b/>
          <w:kern w:val="0"/>
          <w:sz w:val="24"/>
          <w:szCs w:val="21"/>
        </w:rPr>
      </w:pPr>
      <w:r>
        <w:rPr>
          <w:rFonts w:hint="eastAsia"/>
          <w:b/>
          <w:kern w:val="0"/>
          <w:sz w:val="24"/>
          <w:szCs w:val="21"/>
        </w:rPr>
        <w:t>货物所有指标应符合以下国家或行业相关标准的</w:t>
      </w:r>
      <w:r>
        <w:rPr>
          <w:b/>
          <w:kern w:val="0"/>
          <w:sz w:val="24"/>
          <w:szCs w:val="21"/>
        </w:rPr>
        <w:t>最新版本</w:t>
      </w:r>
      <w:r>
        <w:rPr>
          <w:rFonts w:hint="eastAsia"/>
          <w:b/>
          <w:kern w:val="0"/>
          <w:sz w:val="24"/>
          <w:szCs w:val="21"/>
        </w:rPr>
        <w:t>:</w:t>
      </w:r>
    </w:p>
    <w:p w14:paraId="4BFE45EA">
      <w:pPr>
        <w:pStyle w:val="98"/>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GB/T 778 --2018  《饮用冷水水表和热水水表》</w:t>
      </w:r>
    </w:p>
    <w:p w14:paraId="1701ACEE">
      <w:pPr>
        <w:pStyle w:val="98"/>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CECS 303-2011    《住宅远传抄表系统应用技术规程》</w:t>
      </w:r>
    </w:p>
    <w:p w14:paraId="4A846220">
      <w:pPr>
        <w:pStyle w:val="98"/>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CJ226  --2008    《饮用水冷水水表安全规则》</w:t>
      </w:r>
    </w:p>
    <w:p w14:paraId="20F04751">
      <w:pPr>
        <w:pStyle w:val="98"/>
        <w:snapToGrid w:val="0"/>
        <w:spacing w:line="360" w:lineRule="auto"/>
        <w:ind w:firstLine="480" w:firstLineChars="200"/>
        <w:rPr>
          <w:rFonts w:hint="eastAsia" w:ascii="宋体" w:hAnsi="宋体" w:cs="宋体"/>
          <w:sz w:val="24"/>
          <w:szCs w:val="24"/>
        </w:rPr>
      </w:pPr>
      <w:bookmarkStart w:id="0" w:name="_Hlk99568896"/>
      <w:r>
        <w:rPr>
          <w:rFonts w:hint="eastAsia" w:ascii="宋体" w:hAnsi="宋体" w:cs="宋体"/>
          <w:sz w:val="24"/>
          <w:szCs w:val="24"/>
        </w:rPr>
        <w:t>JJG162 --20</w:t>
      </w:r>
      <w:r>
        <w:rPr>
          <w:rFonts w:hint="eastAsia" w:ascii="宋体" w:hAnsi="宋体" w:cs="宋体" w:eastAsiaTheme="minorEastAsia"/>
          <w:sz w:val="24"/>
          <w:szCs w:val="24"/>
        </w:rPr>
        <w:t>1</w:t>
      </w:r>
      <w:r>
        <w:rPr>
          <w:rFonts w:hint="eastAsia" w:ascii="宋体" w:hAnsi="宋体" w:cs="宋体"/>
          <w:sz w:val="24"/>
          <w:szCs w:val="24"/>
        </w:rPr>
        <w:t>9    《冷水水表检定规程》</w:t>
      </w:r>
    </w:p>
    <w:bookmarkEnd w:id="0"/>
    <w:p w14:paraId="4C54556E">
      <w:pPr>
        <w:pStyle w:val="98"/>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CJ/T224</w:t>
      </w:r>
      <w:r>
        <w:rPr>
          <w:rFonts w:hint="eastAsia" w:ascii="宋体" w:hAnsi="宋体" w:cs="宋体" w:eastAsiaTheme="minorEastAsia"/>
          <w:sz w:val="24"/>
          <w:szCs w:val="24"/>
        </w:rPr>
        <w:t xml:space="preserve"> </w:t>
      </w:r>
      <w:r>
        <w:rPr>
          <w:rFonts w:hint="eastAsia" w:ascii="宋体" w:hAnsi="宋体" w:cs="宋体"/>
          <w:sz w:val="24"/>
          <w:szCs w:val="24"/>
        </w:rPr>
        <w:t>--2012    《电子远传水表》</w:t>
      </w:r>
    </w:p>
    <w:p w14:paraId="2F80944E">
      <w:pPr>
        <w:pStyle w:val="98"/>
        <w:snapToGrid w:val="0"/>
        <w:spacing w:line="360" w:lineRule="auto"/>
        <w:ind w:firstLine="480" w:firstLineChars="200"/>
        <w:rPr>
          <w:rFonts w:hint="eastAsia" w:ascii="宋体" w:hAnsi="宋体" w:cs="宋体" w:eastAsiaTheme="minorEastAsia"/>
          <w:sz w:val="24"/>
          <w:szCs w:val="24"/>
        </w:rPr>
      </w:pPr>
      <w:bookmarkStart w:id="1" w:name="_Hlk99568909"/>
      <w:r>
        <w:rPr>
          <w:rFonts w:hint="eastAsia" w:ascii="宋体" w:hAnsi="宋体" w:cs="宋体"/>
          <w:sz w:val="24"/>
          <w:szCs w:val="24"/>
        </w:rPr>
        <w:t>CMA/WM778--2010  《小口径饮用水冷水表表壳技术规范》</w:t>
      </w:r>
    </w:p>
    <w:p w14:paraId="42FFCF88">
      <w:pPr>
        <w:pStyle w:val="98"/>
        <w:snapToGrid w:val="0"/>
        <w:spacing w:line="360" w:lineRule="auto"/>
        <w:ind w:firstLine="480" w:firstLineChars="200"/>
        <w:rPr>
          <w:rFonts w:hint="eastAsia" w:ascii="宋体" w:hAnsi="宋体" w:cs="宋体" w:eastAsiaTheme="minorEastAsia"/>
          <w:sz w:val="24"/>
          <w:szCs w:val="24"/>
        </w:rPr>
      </w:pPr>
      <w:r>
        <w:rPr>
          <w:rFonts w:hint="eastAsia" w:ascii="宋体" w:hAnsi="宋体" w:cs="宋体"/>
          <w:sz w:val="24"/>
          <w:szCs w:val="24"/>
        </w:rPr>
        <w:t>CJ/T</w:t>
      </w:r>
      <w:r>
        <w:rPr>
          <w:rFonts w:hint="eastAsia" w:ascii="宋体" w:hAnsi="宋体" w:cs="宋体" w:eastAsiaTheme="minorEastAsia"/>
          <w:sz w:val="24"/>
          <w:szCs w:val="24"/>
        </w:rPr>
        <w:t xml:space="preserve">535 </w:t>
      </w:r>
      <w:r>
        <w:rPr>
          <w:rFonts w:hint="eastAsia" w:ascii="宋体" w:hAnsi="宋体" w:cs="宋体"/>
          <w:sz w:val="24"/>
          <w:szCs w:val="24"/>
        </w:rPr>
        <w:t>--201</w:t>
      </w:r>
      <w:r>
        <w:rPr>
          <w:rFonts w:hint="eastAsia" w:ascii="宋体" w:hAnsi="宋体" w:cs="宋体" w:eastAsiaTheme="minorEastAsia"/>
          <w:sz w:val="24"/>
          <w:szCs w:val="24"/>
        </w:rPr>
        <w:t>8</w:t>
      </w:r>
      <w:r>
        <w:rPr>
          <w:rFonts w:hint="eastAsia" w:ascii="宋体" w:hAnsi="宋体" w:cs="宋体"/>
          <w:sz w:val="24"/>
          <w:szCs w:val="24"/>
        </w:rPr>
        <w:t xml:space="preserve">    《</w:t>
      </w:r>
      <w:r>
        <w:rPr>
          <w:rFonts w:hint="eastAsia" w:ascii="宋体" w:hAnsi="宋体" w:cs="宋体" w:eastAsiaTheme="minorEastAsia"/>
          <w:sz w:val="24"/>
          <w:szCs w:val="24"/>
        </w:rPr>
        <w:t>物联网水表</w:t>
      </w:r>
      <w:r>
        <w:rPr>
          <w:rFonts w:hint="eastAsia" w:ascii="宋体" w:hAnsi="宋体" w:cs="宋体"/>
          <w:sz w:val="24"/>
          <w:szCs w:val="24"/>
        </w:rPr>
        <w:t>》</w:t>
      </w:r>
    </w:p>
    <w:bookmarkEnd w:id="1"/>
    <w:p w14:paraId="27875B02">
      <w:pPr>
        <w:snapToGrid w:val="0"/>
        <w:spacing w:before="100" w:beforeAutospacing="1" w:after="100" w:afterAutospacing="1"/>
        <w:rPr>
          <w:b/>
          <w:kern w:val="0"/>
          <w:sz w:val="24"/>
        </w:rPr>
      </w:pPr>
      <w:r>
        <w:rPr>
          <w:rFonts w:hint="eastAsia"/>
          <w:b/>
          <w:kern w:val="0"/>
          <w:sz w:val="24"/>
        </w:rPr>
        <w:t>一、结构性要求：</w:t>
      </w:r>
    </w:p>
    <w:p w14:paraId="5EE0E890">
      <w:pPr>
        <w:snapToGrid w:val="0"/>
        <w:spacing w:before="100" w:beforeAutospacing="1" w:after="100" w:afterAutospacing="1" w:line="360" w:lineRule="auto"/>
        <w:ind w:firstLine="360" w:firstLineChars="150"/>
        <w:rPr>
          <w:rFonts w:ascii="新宋体" w:hAnsi="新宋体" w:eastAsia="新宋体"/>
          <w:sz w:val="24"/>
        </w:rPr>
      </w:pPr>
      <w:r>
        <w:rPr>
          <w:rFonts w:hint="eastAsia" w:ascii="新宋体" w:hAnsi="新宋体" w:eastAsia="新宋体"/>
          <w:sz w:val="24"/>
        </w:rPr>
        <w:t>整表采用分体式结构，</w:t>
      </w:r>
      <w:r>
        <w:rPr>
          <w:rFonts w:hint="eastAsia" w:ascii="宋体" w:hAnsi="宋体" w:cs="宋体"/>
          <w:sz w:val="24"/>
          <w:szCs w:val="21"/>
        </w:rPr>
        <w:t>DN15-DN5</w:t>
      </w:r>
      <w:r>
        <w:rPr>
          <w:rFonts w:ascii="宋体" w:hAnsi="宋体" w:cs="宋体"/>
          <w:sz w:val="24"/>
          <w:szCs w:val="21"/>
        </w:rPr>
        <w:t>0</w:t>
      </w:r>
      <w:r>
        <w:rPr>
          <w:rFonts w:hint="eastAsia" w:ascii="新宋体" w:hAnsi="新宋体" w:eastAsia="新宋体"/>
          <w:sz w:val="24"/>
        </w:rPr>
        <w:t>即旋翼式冷水水表（湿式水表）</w:t>
      </w:r>
      <w:r>
        <w:rPr>
          <w:rFonts w:hint="eastAsia" w:ascii="宋体" w:hAnsi="宋体" w:cs="宋体"/>
          <w:sz w:val="24"/>
          <w:szCs w:val="21"/>
        </w:rPr>
        <w:t>DN</w:t>
      </w:r>
      <w:r>
        <w:rPr>
          <w:rFonts w:hint="eastAsia" w:ascii="宋体" w:hAnsi="宋体" w:cs="宋体"/>
          <w:sz w:val="24"/>
          <w:szCs w:val="21"/>
          <w:lang w:val="en-US" w:eastAsia="zh-CN"/>
        </w:rPr>
        <w:t>80</w:t>
      </w:r>
      <w:r>
        <w:rPr>
          <w:rFonts w:hint="eastAsia" w:ascii="宋体" w:hAnsi="宋体" w:cs="宋体"/>
          <w:sz w:val="24"/>
          <w:szCs w:val="21"/>
        </w:rPr>
        <w:t>-DN</w:t>
      </w:r>
      <w:r>
        <w:rPr>
          <w:rFonts w:hint="eastAsia" w:ascii="宋体" w:hAnsi="宋体" w:cs="宋体"/>
          <w:sz w:val="24"/>
          <w:szCs w:val="21"/>
          <w:lang w:val="en-US" w:eastAsia="zh-CN"/>
        </w:rPr>
        <w:t>20</w:t>
      </w:r>
      <w:r>
        <w:rPr>
          <w:rFonts w:ascii="宋体" w:hAnsi="宋体" w:cs="宋体"/>
          <w:sz w:val="24"/>
          <w:szCs w:val="21"/>
        </w:rPr>
        <w:t>0</w:t>
      </w:r>
      <w:r>
        <w:rPr>
          <w:rFonts w:hint="eastAsia" w:ascii="宋体" w:hAnsi="宋体" w:cs="宋体"/>
          <w:sz w:val="24"/>
          <w:szCs w:val="21"/>
          <w:lang w:val="en-US" w:eastAsia="zh-CN"/>
        </w:rPr>
        <w:t>即</w:t>
      </w:r>
      <w:r>
        <w:rPr>
          <w:rFonts w:hint="eastAsia" w:ascii="宋体" w:hAnsi="宋体"/>
          <w:sz w:val="24"/>
          <w:szCs w:val="24"/>
        </w:rPr>
        <w:t>垂直螺翼式冷水表</w:t>
      </w:r>
      <w:r>
        <w:rPr>
          <w:rFonts w:hint="eastAsia" w:ascii="新宋体" w:hAnsi="新宋体" w:eastAsia="新宋体"/>
          <w:sz w:val="24"/>
        </w:rPr>
        <w:t>（</w:t>
      </w:r>
      <w:r>
        <w:rPr>
          <w:rFonts w:hint="eastAsia" w:ascii="新宋体" w:hAnsi="新宋体" w:eastAsia="新宋体"/>
          <w:sz w:val="24"/>
          <w:lang w:val="en-US" w:eastAsia="zh-CN"/>
        </w:rPr>
        <w:t>干</w:t>
      </w:r>
      <w:r>
        <w:rPr>
          <w:rFonts w:hint="eastAsia" w:ascii="新宋体" w:hAnsi="新宋体" w:eastAsia="新宋体"/>
          <w:sz w:val="24"/>
        </w:rPr>
        <w:t>式水表）和NB-IOT远传模块。</w:t>
      </w:r>
      <w:r>
        <w:rPr>
          <w:rFonts w:hint="eastAsia" w:ascii="宋体" w:hAnsi="宋体" w:cs="宋体"/>
          <w:bCs/>
          <w:sz w:val="24"/>
        </w:rPr>
        <w:t>可以在不停水、不破坏基表计量特性的前提下，可不停水实现对电子装置进行拆卸和维护，并不得影响机械表计量。当基表更换时，电子远传装置可以重复使用。</w:t>
      </w:r>
    </w:p>
    <w:p w14:paraId="5FBE5174">
      <w:pPr>
        <w:snapToGrid w:val="0"/>
        <w:spacing w:before="100" w:beforeAutospacing="1" w:after="100" w:afterAutospacing="1"/>
        <w:rPr>
          <w:b/>
          <w:kern w:val="0"/>
          <w:sz w:val="24"/>
        </w:rPr>
      </w:pPr>
      <w:r>
        <w:rPr>
          <w:rFonts w:hint="eastAsia"/>
          <w:b/>
          <w:kern w:val="0"/>
          <w:sz w:val="24"/>
        </w:rPr>
        <w:t>二、机械水表（基表）要求：</w:t>
      </w:r>
    </w:p>
    <w:p w14:paraId="37575076">
      <w:pPr>
        <w:snapToGrid w:val="0"/>
        <w:spacing w:before="100" w:beforeAutospacing="1" w:after="100" w:afterAutospacing="1"/>
        <w:rPr>
          <w:rFonts w:ascii="新宋体" w:hAnsi="新宋体" w:eastAsia="新宋体"/>
          <w:sz w:val="24"/>
        </w:rPr>
      </w:pPr>
      <w:r>
        <w:rPr>
          <w:rFonts w:hint="eastAsia" w:ascii="新宋体" w:hAnsi="新宋体" w:eastAsia="新宋体"/>
          <w:sz w:val="24"/>
        </w:rPr>
        <w:t>1、主要技术参数：</w:t>
      </w:r>
    </w:p>
    <w:p w14:paraId="145E6B4D">
      <w:pPr>
        <w:snapToGrid w:val="0"/>
        <w:spacing w:before="100" w:beforeAutospacing="1" w:after="100" w:afterAutospacing="1"/>
        <w:ind w:firstLine="240" w:firstLineChars="100"/>
        <w:rPr>
          <w:bCs/>
          <w:sz w:val="24"/>
        </w:rPr>
      </w:pPr>
      <w:r>
        <w:rPr>
          <w:rFonts w:hint="eastAsia"/>
          <w:bCs/>
          <w:sz w:val="24"/>
        </w:rPr>
        <w:t>水表质量符合GB/T778.1-201</w:t>
      </w:r>
      <w:r>
        <w:rPr>
          <w:rFonts w:hint="eastAsia"/>
          <w:bCs/>
          <w:sz w:val="24"/>
          <w:lang w:val="en-US" w:eastAsia="zh-CN"/>
        </w:rPr>
        <w:t>8</w:t>
      </w:r>
      <w:r>
        <w:rPr>
          <w:rFonts w:hint="eastAsia"/>
          <w:bCs/>
          <w:sz w:val="24"/>
        </w:rPr>
        <w:t>，2级要求，水表厂家必须具备相应的资质。</w:t>
      </w:r>
    </w:p>
    <w:p w14:paraId="77B5321C">
      <w:pPr>
        <w:snapToGrid w:val="0"/>
        <w:spacing w:before="100" w:beforeAutospacing="1" w:after="100" w:afterAutospacing="1"/>
        <w:ind w:firstLine="240" w:firstLineChars="100"/>
        <w:rPr>
          <w:rFonts w:hint="eastAsia" w:eastAsia="宋体"/>
          <w:bCs/>
          <w:sz w:val="24"/>
          <w:lang w:eastAsia="zh-CN"/>
        </w:rPr>
      </w:pPr>
      <w:r>
        <w:rPr>
          <w:rFonts w:hint="eastAsia"/>
          <w:bCs/>
          <w:sz w:val="24"/>
        </w:rPr>
        <w:t>具备履行合同本项目经营所需水表的型式批准证书</w:t>
      </w:r>
      <w:r>
        <w:rPr>
          <w:rFonts w:hint="eastAsia"/>
          <w:bCs/>
          <w:sz w:val="24"/>
          <w:lang w:eastAsia="zh-CN"/>
        </w:rPr>
        <w:t>。</w:t>
      </w:r>
    </w:p>
    <w:p w14:paraId="130811E1">
      <w:pPr>
        <w:snapToGrid w:val="0"/>
        <w:spacing w:before="100" w:beforeAutospacing="1" w:after="100" w:afterAutospacing="1"/>
        <w:ind w:firstLine="240" w:firstLineChars="100"/>
        <w:rPr>
          <w:bCs/>
          <w:sz w:val="24"/>
        </w:rPr>
      </w:pPr>
      <w:r>
        <w:rPr>
          <w:rFonts w:hint="eastAsia"/>
          <w:bCs/>
          <w:sz w:val="24"/>
        </w:rPr>
        <w:t>水表计量等级的流量参数要求如下：</w:t>
      </w:r>
    </w:p>
    <w:tbl>
      <w:tblPr>
        <w:tblStyle w:val="3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1243"/>
        <w:gridCol w:w="1045"/>
        <w:gridCol w:w="1166"/>
        <w:gridCol w:w="936"/>
        <w:gridCol w:w="1218"/>
        <w:gridCol w:w="1041"/>
        <w:gridCol w:w="1191"/>
      </w:tblGrid>
      <w:tr w14:paraId="21723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jc w:val="center"/>
        </w:trPr>
        <w:tc>
          <w:tcPr>
            <w:tcW w:w="400" w:type="pct"/>
            <w:vAlign w:val="center"/>
          </w:tcPr>
          <w:p w14:paraId="702F1B36">
            <w:pPr>
              <w:snapToGrid w:val="0"/>
              <w:spacing w:before="100" w:beforeAutospacing="1" w:after="100" w:afterAutospacing="1"/>
              <w:jc w:val="center"/>
              <w:rPr>
                <w:rFonts w:ascii="宋体" w:hAnsi="宋体"/>
                <w:sz w:val="22"/>
              </w:rPr>
            </w:pPr>
            <w:r>
              <w:rPr>
                <w:rFonts w:hint="eastAsia" w:ascii="宋体" w:hAnsi="宋体"/>
                <w:sz w:val="22"/>
              </w:rPr>
              <w:t>序号</w:t>
            </w:r>
          </w:p>
        </w:tc>
        <w:tc>
          <w:tcPr>
            <w:tcW w:w="729" w:type="pct"/>
            <w:vAlign w:val="center"/>
          </w:tcPr>
          <w:p w14:paraId="5A322C90">
            <w:pPr>
              <w:snapToGrid w:val="0"/>
              <w:spacing w:before="100" w:beforeAutospacing="1" w:after="100" w:afterAutospacing="1"/>
              <w:jc w:val="center"/>
              <w:rPr>
                <w:rFonts w:ascii="宋体" w:hAnsi="宋体"/>
                <w:sz w:val="22"/>
              </w:rPr>
            </w:pPr>
            <w:r>
              <w:rPr>
                <w:rFonts w:hint="eastAsia" w:ascii="宋体" w:hAnsi="宋体"/>
                <w:sz w:val="22"/>
              </w:rPr>
              <w:t>基表类型</w:t>
            </w:r>
          </w:p>
        </w:tc>
        <w:tc>
          <w:tcPr>
            <w:tcW w:w="613" w:type="pct"/>
            <w:vAlign w:val="center"/>
          </w:tcPr>
          <w:p w14:paraId="186C4CCF">
            <w:pPr>
              <w:snapToGrid w:val="0"/>
              <w:spacing w:before="100" w:beforeAutospacing="1" w:after="100" w:afterAutospacing="1"/>
              <w:jc w:val="center"/>
              <w:rPr>
                <w:rFonts w:ascii="宋体" w:hAnsi="宋体"/>
                <w:sz w:val="22"/>
              </w:rPr>
            </w:pPr>
            <w:r>
              <w:rPr>
                <w:rFonts w:hint="eastAsia" w:ascii="宋体" w:hAnsi="宋体"/>
                <w:sz w:val="22"/>
              </w:rPr>
              <w:t>公称直径DN(mm)</w:t>
            </w:r>
          </w:p>
        </w:tc>
        <w:tc>
          <w:tcPr>
            <w:tcW w:w="684" w:type="pct"/>
            <w:vAlign w:val="center"/>
          </w:tcPr>
          <w:p w14:paraId="2A2BC9F0">
            <w:pPr>
              <w:snapToGrid w:val="0"/>
              <w:spacing w:before="100" w:beforeAutospacing="1" w:after="100" w:afterAutospacing="1"/>
              <w:jc w:val="center"/>
              <w:rPr>
                <w:rFonts w:ascii="宋体" w:hAnsi="宋体"/>
                <w:sz w:val="22"/>
              </w:rPr>
            </w:pPr>
            <w:r>
              <w:rPr>
                <w:rFonts w:hint="eastAsia" w:ascii="宋体" w:hAnsi="宋体"/>
                <w:sz w:val="22"/>
              </w:rPr>
              <w:t>常用流量</w:t>
            </w:r>
          </w:p>
          <w:p w14:paraId="7882A475">
            <w:pPr>
              <w:snapToGrid w:val="0"/>
              <w:spacing w:before="100" w:beforeAutospacing="1" w:after="100" w:afterAutospacing="1"/>
              <w:jc w:val="center"/>
              <w:rPr>
                <w:rFonts w:ascii="宋体" w:hAnsi="宋体"/>
                <w:sz w:val="22"/>
              </w:rPr>
            </w:pPr>
            <w:r>
              <w:rPr>
                <w:rFonts w:hint="eastAsia" w:ascii="宋体" w:hAnsi="宋体"/>
                <w:sz w:val="22"/>
              </w:rPr>
              <w:t>Q3(m³/h)</w:t>
            </w:r>
          </w:p>
        </w:tc>
        <w:tc>
          <w:tcPr>
            <w:tcW w:w="549" w:type="pct"/>
            <w:vAlign w:val="center"/>
          </w:tcPr>
          <w:p w14:paraId="7846ABB5">
            <w:pPr>
              <w:snapToGrid w:val="0"/>
              <w:spacing w:before="100" w:beforeAutospacing="1" w:after="100" w:afterAutospacing="1"/>
              <w:jc w:val="center"/>
              <w:rPr>
                <w:rFonts w:ascii="宋体" w:hAnsi="宋体"/>
                <w:sz w:val="22"/>
              </w:rPr>
            </w:pPr>
            <w:r>
              <w:rPr>
                <w:rFonts w:hint="eastAsia" w:ascii="宋体" w:hAnsi="宋体"/>
                <w:sz w:val="22"/>
              </w:rPr>
              <w:t>量程比（R）</w:t>
            </w:r>
          </w:p>
          <w:p w14:paraId="6C8AEC93">
            <w:pPr>
              <w:snapToGrid w:val="0"/>
              <w:spacing w:before="100" w:beforeAutospacing="1" w:after="100" w:afterAutospacing="1"/>
              <w:jc w:val="center"/>
              <w:rPr>
                <w:rFonts w:ascii="宋体" w:hAnsi="宋体"/>
                <w:sz w:val="22"/>
              </w:rPr>
            </w:pPr>
            <w:r>
              <w:rPr>
                <w:rFonts w:hint="eastAsia" w:ascii="宋体" w:hAnsi="宋体"/>
                <w:sz w:val="22"/>
              </w:rPr>
              <w:t>Q3/Q1</w:t>
            </w:r>
          </w:p>
        </w:tc>
        <w:tc>
          <w:tcPr>
            <w:tcW w:w="714" w:type="pct"/>
            <w:vAlign w:val="center"/>
          </w:tcPr>
          <w:p w14:paraId="3A3F5221">
            <w:pPr>
              <w:snapToGrid w:val="0"/>
              <w:spacing w:before="100" w:beforeAutospacing="1" w:after="100" w:afterAutospacing="1"/>
              <w:jc w:val="center"/>
              <w:rPr>
                <w:rFonts w:ascii="宋体" w:hAnsi="宋体"/>
                <w:sz w:val="22"/>
              </w:rPr>
            </w:pPr>
            <w:r>
              <w:rPr>
                <w:rFonts w:hint="eastAsia" w:ascii="宋体" w:hAnsi="宋体"/>
                <w:sz w:val="22"/>
              </w:rPr>
              <w:t>分界流量/最小流量Q2/Q1</w:t>
            </w:r>
          </w:p>
        </w:tc>
        <w:tc>
          <w:tcPr>
            <w:tcW w:w="610" w:type="pct"/>
            <w:vAlign w:val="center"/>
          </w:tcPr>
          <w:p w14:paraId="5DC6A1EC">
            <w:pPr>
              <w:snapToGrid w:val="0"/>
              <w:spacing w:before="100" w:beforeAutospacing="1" w:after="100" w:afterAutospacing="1"/>
              <w:jc w:val="center"/>
              <w:rPr>
                <w:rFonts w:ascii="宋体" w:hAnsi="宋体"/>
                <w:sz w:val="22"/>
              </w:rPr>
            </w:pPr>
            <w:r>
              <w:rPr>
                <w:rFonts w:hint="eastAsia" w:ascii="宋体" w:hAnsi="宋体"/>
                <w:sz w:val="22"/>
              </w:rPr>
              <w:t>最小读数</w:t>
            </w:r>
          </w:p>
          <w:p w14:paraId="63E74042">
            <w:pPr>
              <w:snapToGrid w:val="0"/>
              <w:spacing w:before="100" w:beforeAutospacing="1" w:after="100" w:afterAutospacing="1"/>
              <w:jc w:val="center"/>
              <w:rPr>
                <w:rFonts w:ascii="宋体" w:hAnsi="宋体"/>
                <w:sz w:val="22"/>
              </w:rPr>
            </w:pPr>
            <w:r>
              <w:rPr>
                <w:rFonts w:hint="eastAsia" w:ascii="宋体" w:hAnsi="宋体"/>
                <w:sz w:val="22"/>
              </w:rPr>
              <w:t>m3</w:t>
            </w:r>
          </w:p>
        </w:tc>
        <w:tc>
          <w:tcPr>
            <w:tcW w:w="698" w:type="pct"/>
            <w:vAlign w:val="center"/>
          </w:tcPr>
          <w:p w14:paraId="780F68DD">
            <w:pPr>
              <w:snapToGrid w:val="0"/>
              <w:spacing w:before="100" w:beforeAutospacing="1" w:after="100" w:afterAutospacing="1"/>
              <w:jc w:val="center"/>
              <w:rPr>
                <w:rFonts w:ascii="宋体" w:hAnsi="宋体"/>
                <w:sz w:val="22"/>
              </w:rPr>
            </w:pPr>
            <w:r>
              <w:rPr>
                <w:rFonts w:hint="eastAsia" w:ascii="宋体" w:hAnsi="宋体"/>
                <w:sz w:val="22"/>
              </w:rPr>
              <w:t>最大读数</w:t>
            </w:r>
          </w:p>
          <w:p w14:paraId="35D03B4E">
            <w:pPr>
              <w:snapToGrid w:val="0"/>
              <w:spacing w:before="100" w:beforeAutospacing="1" w:after="100" w:afterAutospacing="1"/>
              <w:ind w:firstLine="440" w:firstLineChars="200"/>
              <w:rPr>
                <w:rFonts w:ascii="宋体" w:hAnsi="宋体"/>
                <w:sz w:val="22"/>
              </w:rPr>
            </w:pPr>
            <w:r>
              <w:rPr>
                <w:rFonts w:hint="eastAsia" w:ascii="宋体" w:hAnsi="宋体"/>
                <w:sz w:val="22"/>
              </w:rPr>
              <w:t>m3</w:t>
            </w:r>
          </w:p>
        </w:tc>
      </w:tr>
      <w:tr w14:paraId="489AE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400" w:type="pct"/>
            <w:vAlign w:val="center"/>
          </w:tcPr>
          <w:p w14:paraId="1BCD19F0">
            <w:pPr>
              <w:snapToGrid w:val="0"/>
              <w:spacing w:before="100" w:beforeAutospacing="1" w:after="100" w:afterAutospacing="1"/>
              <w:jc w:val="center"/>
              <w:rPr>
                <w:rFonts w:ascii="宋体" w:hAnsi="宋体"/>
                <w:sz w:val="22"/>
              </w:rPr>
            </w:pPr>
            <w:r>
              <w:rPr>
                <w:rFonts w:hint="eastAsia" w:ascii="宋体" w:hAnsi="宋体"/>
                <w:sz w:val="22"/>
              </w:rPr>
              <w:t>1</w:t>
            </w:r>
          </w:p>
        </w:tc>
        <w:tc>
          <w:tcPr>
            <w:tcW w:w="729" w:type="pct"/>
            <w:vAlign w:val="center"/>
          </w:tcPr>
          <w:p w14:paraId="246E8665">
            <w:pPr>
              <w:snapToGrid w:val="0"/>
              <w:spacing w:before="100" w:beforeAutospacing="1" w:after="100" w:afterAutospacing="1"/>
              <w:jc w:val="center"/>
              <w:rPr>
                <w:rFonts w:ascii="宋体" w:hAnsi="宋体"/>
                <w:sz w:val="22"/>
              </w:rPr>
            </w:pPr>
            <w:r>
              <w:rPr>
                <w:rFonts w:hint="eastAsia" w:ascii="宋体" w:hAnsi="宋体"/>
                <w:sz w:val="22"/>
              </w:rPr>
              <w:t>旋翼式冷水水表</w:t>
            </w:r>
          </w:p>
        </w:tc>
        <w:tc>
          <w:tcPr>
            <w:tcW w:w="613" w:type="pct"/>
            <w:vAlign w:val="center"/>
          </w:tcPr>
          <w:p w14:paraId="605C76CC">
            <w:pPr>
              <w:snapToGrid w:val="0"/>
              <w:spacing w:before="100" w:beforeAutospacing="1" w:after="100" w:afterAutospacing="1"/>
              <w:jc w:val="center"/>
              <w:rPr>
                <w:rFonts w:ascii="宋体" w:hAnsi="宋体"/>
                <w:sz w:val="22"/>
              </w:rPr>
            </w:pPr>
            <w:r>
              <w:rPr>
                <w:rFonts w:hint="eastAsia" w:ascii="宋体" w:hAnsi="宋体"/>
                <w:sz w:val="22"/>
              </w:rPr>
              <w:t>15</w:t>
            </w:r>
          </w:p>
        </w:tc>
        <w:tc>
          <w:tcPr>
            <w:tcW w:w="684" w:type="pct"/>
            <w:vAlign w:val="center"/>
          </w:tcPr>
          <w:p w14:paraId="783796DD">
            <w:pPr>
              <w:snapToGrid w:val="0"/>
              <w:spacing w:before="100" w:beforeAutospacing="1" w:after="100" w:afterAutospacing="1"/>
              <w:jc w:val="center"/>
              <w:rPr>
                <w:rFonts w:ascii="宋体" w:hAnsi="宋体"/>
                <w:sz w:val="22"/>
              </w:rPr>
            </w:pPr>
            <w:r>
              <w:rPr>
                <w:rFonts w:hint="eastAsia" w:ascii="宋体" w:hAnsi="宋体"/>
                <w:sz w:val="22"/>
              </w:rPr>
              <w:t>2.5</w:t>
            </w:r>
          </w:p>
        </w:tc>
        <w:tc>
          <w:tcPr>
            <w:tcW w:w="549" w:type="pct"/>
            <w:vAlign w:val="center"/>
          </w:tcPr>
          <w:p w14:paraId="1A036C06">
            <w:pPr>
              <w:snapToGrid w:val="0"/>
              <w:spacing w:before="100" w:beforeAutospacing="1" w:after="100" w:afterAutospacing="1"/>
              <w:jc w:val="center"/>
              <w:rPr>
                <w:rFonts w:ascii="宋体" w:hAnsi="宋体"/>
                <w:sz w:val="22"/>
              </w:rPr>
            </w:pPr>
            <w:r>
              <w:rPr>
                <w:rFonts w:hint="eastAsia" w:ascii="宋体" w:hAnsi="宋体"/>
                <w:sz w:val="22"/>
              </w:rPr>
              <w:t>100</w:t>
            </w:r>
          </w:p>
        </w:tc>
        <w:tc>
          <w:tcPr>
            <w:tcW w:w="714" w:type="pct"/>
            <w:vAlign w:val="center"/>
          </w:tcPr>
          <w:p w14:paraId="6D818439">
            <w:pPr>
              <w:snapToGrid w:val="0"/>
              <w:spacing w:before="100" w:beforeAutospacing="1" w:after="100" w:afterAutospacing="1"/>
              <w:jc w:val="center"/>
              <w:rPr>
                <w:rFonts w:ascii="宋体" w:hAnsi="宋体"/>
                <w:sz w:val="22"/>
              </w:rPr>
            </w:pPr>
            <w:r>
              <w:rPr>
                <w:rFonts w:hint="eastAsia" w:ascii="宋体" w:hAnsi="宋体"/>
                <w:sz w:val="22"/>
              </w:rPr>
              <w:t>1.6</w:t>
            </w:r>
          </w:p>
        </w:tc>
        <w:tc>
          <w:tcPr>
            <w:tcW w:w="610" w:type="pct"/>
            <w:vAlign w:val="center"/>
          </w:tcPr>
          <w:p w14:paraId="2B681A3A">
            <w:pPr>
              <w:snapToGrid w:val="0"/>
              <w:spacing w:before="100" w:beforeAutospacing="1" w:after="100" w:afterAutospacing="1"/>
              <w:jc w:val="center"/>
              <w:rPr>
                <w:rFonts w:ascii="宋体" w:hAnsi="宋体"/>
                <w:sz w:val="22"/>
              </w:rPr>
            </w:pPr>
            <w:r>
              <w:rPr>
                <w:rFonts w:hint="eastAsia" w:ascii="宋体" w:hAnsi="宋体"/>
                <w:sz w:val="22"/>
              </w:rPr>
              <w:t>0.0001</w:t>
            </w:r>
          </w:p>
        </w:tc>
        <w:tc>
          <w:tcPr>
            <w:tcW w:w="698" w:type="pct"/>
            <w:vAlign w:val="center"/>
          </w:tcPr>
          <w:p w14:paraId="7868ED86">
            <w:pPr>
              <w:snapToGrid w:val="0"/>
              <w:spacing w:before="100" w:beforeAutospacing="1" w:after="100" w:afterAutospacing="1"/>
              <w:jc w:val="center"/>
              <w:rPr>
                <w:rFonts w:ascii="宋体" w:hAnsi="宋体"/>
                <w:kern w:val="0"/>
                <w:sz w:val="22"/>
              </w:rPr>
            </w:pPr>
            <w:r>
              <w:rPr>
                <w:rFonts w:hint="eastAsia" w:ascii="宋体" w:hAnsi="宋体"/>
                <w:kern w:val="0"/>
                <w:sz w:val="22"/>
              </w:rPr>
              <w:t>99999</w:t>
            </w:r>
          </w:p>
        </w:tc>
      </w:tr>
      <w:tr w14:paraId="6A0C1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400" w:type="pct"/>
            <w:vAlign w:val="center"/>
          </w:tcPr>
          <w:p w14:paraId="5709AEA2">
            <w:pPr>
              <w:snapToGrid w:val="0"/>
              <w:spacing w:before="100" w:beforeAutospacing="1" w:after="100" w:afterAutospacing="1"/>
              <w:jc w:val="center"/>
              <w:rPr>
                <w:rFonts w:ascii="宋体" w:hAnsi="宋体"/>
                <w:sz w:val="22"/>
              </w:rPr>
            </w:pPr>
            <w:r>
              <w:rPr>
                <w:rFonts w:hint="eastAsia" w:ascii="宋体" w:hAnsi="宋体"/>
                <w:sz w:val="22"/>
              </w:rPr>
              <w:t>2</w:t>
            </w:r>
          </w:p>
        </w:tc>
        <w:tc>
          <w:tcPr>
            <w:tcW w:w="729" w:type="pct"/>
            <w:vAlign w:val="center"/>
          </w:tcPr>
          <w:p w14:paraId="55484BE7">
            <w:pPr>
              <w:snapToGrid w:val="0"/>
              <w:spacing w:before="100" w:beforeAutospacing="1" w:after="100" w:afterAutospacing="1"/>
              <w:jc w:val="center"/>
              <w:rPr>
                <w:rFonts w:ascii="宋体" w:hAnsi="宋体"/>
                <w:sz w:val="22"/>
              </w:rPr>
            </w:pPr>
            <w:r>
              <w:rPr>
                <w:rFonts w:hint="eastAsia" w:ascii="宋体" w:hAnsi="宋体"/>
                <w:sz w:val="22"/>
              </w:rPr>
              <w:t>旋翼式冷水水表</w:t>
            </w:r>
          </w:p>
        </w:tc>
        <w:tc>
          <w:tcPr>
            <w:tcW w:w="613" w:type="pct"/>
            <w:vAlign w:val="center"/>
          </w:tcPr>
          <w:p w14:paraId="5436DD77">
            <w:pPr>
              <w:snapToGrid w:val="0"/>
              <w:spacing w:before="100" w:beforeAutospacing="1" w:after="100" w:afterAutospacing="1"/>
              <w:jc w:val="center"/>
              <w:rPr>
                <w:rFonts w:ascii="宋体" w:hAnsi="宋体"/>
                <w:sz w:val="22"/>
              </w:rPr>
            </w:pPr>
            <w:r>
              <w:rPr>
                <w:rFonts w:hint="eastAsia" w:ascii="宋体" w:hAnsi="宋体"/>
                <w:sz w:val="22"/>
              </w:rPr>
              <w:t>20</w:t>
            </w:r>
          </w:p>
        </w:tc>
        <w:tc>
          <w:tcPr>
            <w:tcW w:w="684" w:type="pct"/>
            <w:vAlign w:val="center"/>
          </w:tcPr>
          <w:p w14:paraId="07A27071">
            <w:pPr>
              <w:snapToGrid w:val="0"/>
              <w:spacing w:before="100" w:beforeAutospacing="1" w:after="100" w:afterAutospacing="1"/>
              <w:jc w:val="center"/>
              <w:rPr>
                <w:rFonts w:ascii="宋体" w:hAnsi="宋体"/>
                <w:sz w:val="22"/>
              </w:rPr>
            </w:pPr>
            <w:r>
              <w:rPr>
                <w:rFonts w:hint="eastAsia" w:ascii="宋体" w:hAnsi="宋体"/>
                <w:sz w:val="22"/>
              </w:rPr>
              <w:t>4.0</w:t>
            </w:r>
          </w:p>
        </w:tc>
        <w:tc>
          <w:tcPr>
            <w:tcW w:w="549" w:type="pct"/>
            <w:vAlign w:val="center"/>
          </w:tcPr>
          <w:p w14:paraId="06D341CA">
            <w:pPr>
              <w:snapToGrid w:val="0"/>
              <w:spacing w:before="100" w:beforeAutospacing="1" w:after="100" w:afterAutospacing="1"/>
              <w:jc w:val="center"/>
              <w:rPr>
                <w:rFonts w:ascii="宋体" w:hAnsi="宋体"/>
                <w:sz w:val="22"/>
              </w:rPr>
            </w:pPr>
            <w:r>
              <w:rPr>
                <w:rFonts w:hint="eastAsia" w:ascii="宋体" w:hAnsi="宋体"/>
                <w:sz w:val="22"/>
              </w:rPr>
              <w:t>100</w:t>
            </w:r>
          </w:p>
        </w:tc>
        <w:tc>
          <w:tcPr>
            <w:tcW w:w="714" w:type="pct"/>
            <w:vAlign w:val="center"/>
          </w:tcPr>
          <w:p w14:paraId="07B73FFD">
            <w:pPr>
              <w:snapToGrid w:val="0"/>
              <w:spacing w:before="100" w:beforeAutospacing="1" w:after="100" w:afterAutospacing="1"/>
              <w:jc w:val="center"/>
              <w:rPr>
                <w:rFonts w:ascii="宋体" w:hAnsi="宋体"/>
                <w:sz w:val="22"/>
              </w:rPr>
            </w:pPr>
            <w:r>
              <w:rPr>
                <w:rFonts w:hint="eastAsia" w:ascii="宋体" w:hAnsi="宋体"/>
                <w:sz w:val="22"/>
              </w:rPr>
              <w:t>1.6</w:t>
            </w:r>
          </w:p>
        </w:tc>
        <w:tc>
          <w:tcPr>
            <w:tcW w:w="610" w:type="pct"/>
            <w:vAlign w:val="center"/>
          </w:tcPr>
          <w:p w14:paraId="419C3B45">
            <w:pPr>
              <w:snapToGrid w:val="0"/>
              <w:spacing w:before="100" w:beforeAutospacing="1" w:after="100" w:afterAutospacing="1"/>
              <w:jc w:val="center"/>
              <w:rPr>
                <w:rFonts w:ascii="宋体" w:hAnsi="宋体"/>
                <w:sz w:val="22"/>
              </w:rPr>
            </w:pPr>
            <w:r>
              <w:rPr>
                <w:rFonts w:hint="eastAsia" w:ascii="宋体" w:hAnsi="宋体"/>
                <w:sz w:val="22"/>
              </w:rPr>
              <w:t>0.0001</w:t>
            </w:r>
          </w:p>
        </w:tc>
        <w:tc>
          <w:tcPr>
            <w:tcW w:w="698" w:type="pct"/>
            <w:vAlign w:val="center"/>
          </w:tcPr>
          <w:p w14:paraId="38652CE2">
            <w:pPr>
              <w:snapToGrid w:val="0"/>
              <w:spacing w:before="100" w:beforeAutospacing="1" w:after="100" w:afterAutospacing="1"/>
              <w:jc w:val="center"/>
              <w:rPr>
                <w:rFonts w:ascii="宋体" w:hAnsi="宋体"/>
                <w:kern w:val="0"/>
                <w:sz w:val="22"/>
              </w:rPr>
            </w:pPr>
            <w:r>
              <w:rPr>
                <w:rFonts w:hint="eastAsia" w:ascii="宋体" w:hAnsi="宋体"/>
                <w:kern w:val="0"/>
                <w:sz w:val="22"/>
              </w:rPr>
              <w:t>99999</w:t>
            </w:r>
          </w:p>
        </w:tc>
      </w:tr>
      <w:tr w14:paraId="2CC1B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400" w:type="pct"/>
            <w:vAlign w:val="center"/>
          </w:tcPr>
          <w:p w14:paraId="4BED4DB7">
            <w:pPr>
              <w:snapToGrid w:val="0"/>
              <w:spacing w:before="100" w:beforeAutospacing="1" w:after="100" w:afterAutospacing="1"/>
              <w:jc w:val="center"/>
              <w:rPr>
                <w:rFonts w:ascii="宋体" w:hAnsi="宋体"/>
                <w:sz w:val="22"/>
              </w:rPr>
            </w:pPr>
            <w:r>
              <w:rPr>
                <w:rFonts w:hint="eastAsia" w:ascii="宋体" w:hAnsi="宋体"/>
                <w:sz w:val="22"/>
              </w:rPr>
              <w:t>3</w:t>
            </w:r>
          </w:p>
        </w:tc>
        <w:tc>
          <w:tcPr>
            <w:tcW w:w="729" w:type="pct"/>
            <w:vAlign w:val="center"/>
          </w:tcPr>
          <w:p w14:paraId="68C50414">
            <w:pPr>
              <w:snapToGrid w:val="0"/>
              <w:spacing w:before="100" w:beforeAutospacing="1" w:after="100" w:afterAutospacing="1"/>
              <w:jc w:val="center"/>
              <w:rPr>
                <w:rFonts w:ascii="宋体" w:hAnsi="宋体"/>
                <w:sz w:val="22"/>
              </w:rPr>
            </w:pPr>
            <w:r>
              <w:rPr>
                <w:rFonts w:hint="eastAsia" w:ascii="宋体" w:hAnsi="宋体"/>
                <w:sz w:val="22"/>
              </w:rPr>
              <w:t>旋翼式冷水水表</w:t>
            </w:r>
          </w:p>
        </w:tc>
        <w:tc>
          <w:tcPr>
            <w:tcW w:w="613" w:type="pct"/>
            <w:vAlign w:val="center"/>
          </w:tcPr>
          <w:p w14:paraId="6F5F300C">
            <w:pPr>
              <w:snapToGrid w:val="0"/>
              <w:spacing w:before="100" w:beforeAutospacing="1" w:after="100" w:afterAutospacing="1"/>
              <w:jc w:val="center"/>
              <w:rPr>
                <w:rFonts w:ascii="宋体" w:hAnsi="宋体"/>
                <w:sz w:val="22"/>
              </w:rPr>
            </w:pPr>
            <w:r>
              <w:rPr>
                <w:rFonts w:hint="eastAsia" w:ascii="宋体" w:hAnsi="宋体"/>
                <w:sz w:val="22"/>
              </w:rPr>
              <w:t>25</w:t>
            </w:r>
          </w:p>
        </w:tc>
        <w:tc>
          <w:tcPr>
            <w:tcW w:w="684" w:type="pct"/>
            <w:vAlign w:val="center"/>
          </w:tcPr>
          <w:p w14:paraId="214543CB">
            <w:pPr>
              <w:snapToGrid w:val="0"/>
              <w:spacing w:before="100" w:beforeAutospacing="1" w:after="100" w:afterAutospacing="1"/>
              <w:jc w:val="center"/>
              <w:rPr>
                <w:rFonts w:ascii="宋体" w:hAnsi="宋体"/>
                <w:sz w:val="22"/>
              </w:rPr>
            </w:pPr>
            <w:r>
              <w:rPr>
                <w:rFonts w:hint="eastAsia" w:ascii="宋体" w:hAnsi="宋体"/>
                <w:sz w:val="22"/>
              </w:rPr>
              <w:t>6.3</w:t>
            </w:r>
          </w:p>
        </w:tc>
        <w:tc>
          <w:tcPr>
            <w:tcW w:w="549" w:type="pct"/>
            <w:vAlign w:val="center"/>
          </w:tcPr>
          <w:p w14:paraId="47E931F3">
            <w:pPr>
              <w:snapToGrid w:val="0"/>
              <w:spacing w:before="100" w:beforeAutospacing="1" w:after="100" w:afterAutospacing="1"/>
              <w:jc w:val="center"/>
              <w:rPr>
                <w:rFonts w:ascii="宋体" w:hAnsi="宋体"/>
                <w:sz w:val="22"/>
              </w:rPr>
            </w:pPr>
            <w:r>
              <w:rPr>
                <w:rFonts w:hint="eastAsia" w:ascii="宋体" w:hAnsi="宋体"/>
                <w:sz w:val="22"/>
              </w:rPr>
              <w:t>100</w:t>
            </w:r>
          </w:p>
        </w:tc>
        <w:tc>
          <w:tcPr>
            <w:tcW w:w="714" w:type="pct"/>
            <w:vAlign w:val="center"/>
          </w:tcPr>
          <w:p w14:paraId="076F2FE0">
            <w:pPr>
              <w:snapToGrid w:val="0"/>
              <w:spacing w:before="100" w:beforeAutospacing="1" w:after="100" w:afterAutospacing="1"/>
              <w:jc w:val="center"/>
              <w:rPr>
                <w:rFonts w:ascii="宋体" w:hAnsi="宋体"/>
                <w:sz w:val="22"/>
              </w:rPr>
            </w:pPr>
            <w:r>
              <w:rPr>
                <w:rFonts w:hint="eastAsia" w:ascii="宋体" w:hAnsi="宋体"/>
                <w:sz w:val="22"/>
              </w:rPr>
              <w:t>1.6</w:t>
            </w:r>
          </w:p>
        </w:tc>
        <w:tc>
          <w:tcPr>
            <w:tcW w:w="610" w:type="pct"/>
            <w:vAlign w:val="center"/>
          </w:tcPr>
          <w:p w14:paraId="5FD46F7E">
            <w:pPr>
              <w:snapToGrid w:val="0"/>
              <w:spacing w:before="100" w:beforeAutospacing="1" w:after="100" w:afterAutospacing="1"/>
              <w:jc w:val="center"/>
              <w:rPr>
                <w:rFonts w:ascii="宋体" w:hAnsi="宋体"/>
                <w:sz w:val="22"/>
              </w:rPr>
            </w:pPr>
            <w:r>
              <w:rPr>
                <w:rFonts w:hint="eastAsia" w:ascii="宋体" w:hAnsi="宋体"/>
                <w:sz w:val="22"/>
              </w:rPr>
              <w:t>0.0001</w:t>
            </w:r>
          </w:p>
        </w:tc>
        <w:tc>
          <w:tcPr>
            <w:tcW w:w="698" w:type="pct"/>
            <w:vAlign w:val="center"/>
          </w:tcPr>
          <w:p w14:paraId="4DDF6EBE">
            <w:pPr>
              <w:snapToGrid w:val="0"/>
              <w:spacing w:before="100" w:beforeAutospacing="1" w:after="100" w:afterAutospacing="1"/>
              <w:jc w:val="center"/>
              <w:rPr>
                <w:rFonts w:ascii="宋体" w:hAnsi="宋体"/>
                <w:kern w:val="0"/>
                <w:sz w:val="22"/>
              </w:rPr>
            </w:pPr>
            <w:r>
              <w:rPr>
                <w:rFonts w:hint="eastAsia" w:ascii="宋体" w:hAnsi="宋体"/>
                <w:kern w:val="0"/>
                <w:sz w:val="22"/>
              </w:rPr>
              <w:t>99999</w:t>
            </w:r>
          </w:p>
        </w:tc>
      </w:tr>
      <w:tr w14:paraId="0DDE0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400" w:type="pct"/>
            <w:vAlign w:val="center"/>
          </w:tcPr>
          <w:p w14:paraId="69B93840">
            <w:pPr>
              <w:snapToGrid w:val="0"/>
              <w:spacing w:before="100" w:beforeAutospacing="1" w:after="100" w:afterAutospacing="1"/>
              <w:jc w:val="center"/>
              <w:rPr>
                <w:rFonts w:ascii="宋体" w:hAnsi="宋体"/>
                <w:sz w:val="22"/>
              </w:rPr>
            </w:pPr>
            <w:r>
              <w:rPr>
                <w:rFonts w:hint="eastAsia" w:ascii="宋体" w:hAnsi="宋体"/>
                <w:sz w:val="22"/>
              </w:rPr>
              <w:t>4</w:t>
            </w:r>
          </w:p>
        </w:tc>
        <w:tc>
          <w:tcPr>
            <w:tcW w:w="729" w:type="pct"/>
            <w:vAlign w:val="center"/>
          </w:tcPr>
          <w:p w14:paraId="36C40DBA">
            <w:pPr>
              <w:snapToGrid w:val="0"/>
              <w:spacing w:before="100" w:beforeAutospacing="1" w:after="100" w:afterAutospacing="1"/>
              <w:jc w:val="center"/>
              <w:rPr>
                <w:rFonts w:ascii="宋体" w:hAnsi="宋体"/>
                <w:sz w:val="22"/>
              </w:rPr>
            </w:pPr>
            <w:r>
              <w:rPr>
                <w:rFonts w:hint="eastAsia" w:ascii="宋体" w:hAnsi="宋体"/>
                <w:sz w:val="22"/>
              </w:rPr>
              <w:t>旋翼式冷水水表</w:t>
            </w:r>
          </w:p>
        </w:tc>
        <w:tc>
          <w:tcPr>
            <w:tcW w:w="613" w:type="pct"/>
            <w:vAlign w:val="center"/>
          </w:tcPr>
          <w:p w14:paraId="283978F4">
            <w:pPr>
              <w:snapToGrid w:val="0"/>
              <w:spacing w:before="100" w:beforeAutospacing="1" w:after="100" w:afterAutospacing="1"/>
              <w:jc w:val="center"/>
              <w:rPr>
                <w:rFonts w:ascii="宋体" w:hAnsi="宋体"/>
                <w:sz w:val="22"/>
              </w:rPr>
            </w:pPr>
            <w:r>
              <w:rPr>
                <w:rFonts w:hint="eastAsia" w:ascii="宋体" w:hAnsi="宋体"/>
                <w:sz w:val="22"/>
              </w:rPr>
              <w:t>40</w:t>
            </w:r>
          </w:p>
        </w:tc>
        <w:tc>
          <w:tcPr>
            <w:tcW w:w="684" w:type="pct"/>
            <w:vAlign w:val="center"/>
          </w:tcPr>
          <w:p w14:paraId="04889DF6">
            <w:pPr>
              <w:snapToGrid w:val="0"/>
              <w:spacing w:before="100" w:beforeAutospacing="1" w:after="100" w:afterAutospacing="1"/>
              <w:jc w:val="center"/>
              <w:rPr>
                <w:rFonts w:ascii="宋体" w:hAnsi="宋体"/>
                <w:sz w:val="22"/>
              </w:rPr>
            </w:pPr>
            <w:r>
              <w:rPr>
                <w:rFonts w:hint="eastAsia" w:ascii="宋体" w:hAnsi="宋体"/>
                <w:sz w:val="22"/>
              </w:rPr>
              <w:t>16</w:t>
            </w:r>
          </w:p>
        </w:tc>
        <w:tc>
          <w:tcPr>
            <w:tcW w:w="549" w:type="pct"/>
            <w:vAlign w:val="center"/>
          </w:tcPr>
          <w:p w14:paraId="26DF27F2">
            <w:pPr>
              <w:snapToGrid w:val="0"/>
              <w:spacing w:before="100" w:beforeAutospacing="1" w:after="100" w:afterAutospacing="1"/>
              <w:jc w:val="center"/>
              <w:rPr>
                <w:rFonts w:ascii="宋体" w:hAnsi="宋体"/>
                <w:sz w:val="22"/>
              </w:rPr>
            </w:pPr>
            <w:r>
              <w:rPr>
                <w:rFonts w:hint="eastAsia" w:ascii="宋体" w:hAnsi="宋体"/>
                <w:sz w:val="22"/>
              </w:rPr>
              <w:t>100</w:t>
            </w:r>
          </w:p>
        </w:tc>
        <w:tc>
          <w:tcPr>
            <w:tcW w:w="714" w:type="pct"/>
            <w:vAlign w:val="center"/>
          </w:tcPr>
          <w:p w14:paraId="36EF5813">
            <w:pPr>
              <w:snapToGrid w:val="0"/>
              <w:spacing w:before="100" w:beforeAutospacing="1" w:after="100" w:afterAutospacing="1"/>
              <w:jc w:val="center"/>
              <w:rPr>
                <w:rFonts w:ascii="宋体" w:hAnsi="宋体"/>
                <w:sz w:val="22"/>
              </w:rPr>
            </w:pPr>
            <w:r>
              <w:rPr>
                <w:rFonts w:hint="eastAsia" w:ascii="宋体" w:hAnsi="宋体"/>
                <w:sz w:val="22"/>
              </w:rPr>
              <w:t>1.6</w:t>
            </w:r>
          </w:p>
        </w:tc>
        <w:tc>
          <w:tcPr>
            <w:tcW w:w="610" w:type="pct"/>
            <w:vAlign w:val="center"/>
          </w:tcPr>
          <w:p w14:paraId="3860F441">
            <w:pPr>
              <w:snapToGrid w:val="0"/>
              <w:spacing w:before="100" w:beforeAutospacing="1" w:after="100" w:afterAutospacing="1"/>
              <w:jc w:val="center"/>
              <w:rPr>
                <w:rFonts w:ascii="宋体" w:hAnsi="宋体"/>
                <w:sz w:val="22"/>
              </w:rPr>
            </w:pPr>
            <w:r>
              <w:rPr>
                <w:rFonts w:hint="eastAsia" w:ascii="宋体" w:hAnsi="宋体"/>
                <w:sz w:val="22"/>
              </w:rPr>
              <w:t>0.0001</w:t>
            </w:r>
          </w:p>
        </w:tc>
        <w:tc>
          <w:tcPr>
            <w:tcW w:w="698" w:type="pct"/>
            <w:vAlign w:val="center"/>
          </w:tcPr>
          <w:p w14:paraId="4DE6C082">
            <w:pPr>
              <w:snapToGrid w:val="0"/>
              <w:spacing w:before="100" w:beforeAutospacing="1" w:after="100" w:afterAutospacing="1"/>
              <w:jc w:val="center"/>
              <w:rPr>
                <w:rFonts w:ascii="宋体" w:hAnsi="宋体"/>
                <w:kern w:val="0"/>
                <w:sz w:val="22"/>
              </w:rPr>
            </w:pPr>
            <w:r>
              <w:rPr>
                <w:rFonts w:hint="eastAsia" w:ascii="宋体" w:hAnsi="宋体"/>
                <w:kern w:val="0"/>
                <w:sz w:val="22"/>
              </w:rPr>
              <w:t>99999</w:t>
            </w:r>
          </w:p>
        </w:tc>
      </w:tr>
      <w:tr w14:paraId="5FAA9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400" w:type="pct"/>
            <w:vAlign w:val="center"/>
          </w:tcPr>
          <w:p w14:paraId="54B6E864">
            <w:pPr>
              <w:snapToGrid w:val="0"/>
              <w:spacing w:before="100" w:beforeAutospacing="1" w:after="100" w:afterAutospacing="1"/>
              <w:jc w:val="center"/>
              <w:rPr>
                <w:rFonts w:ascii="宋体" w:hAnsi="宋体"/>
                <w:sz w:val="22"/>
              </w:rPr>
            </w:pPr>
            <w:r>
              <w:rPr>
                <w:rFonts w:hint="eastAsia" w:ascii="宋体" w:hAnsi="宋体"/>
                <w:sz w:val="22"/>
              </w:rPr>
              <w:t>5</w:t>
            </w:r>
          </w:p>
        </w:tc>
        <w:tc>
          <w:tcPr>
            <w:tcW w:w="729" w:type="pct"/>
            <w:vAlign w:val="center"/>
          </w:tcPr>
          <w:p w14:paraId="0290E633">
            <w:pPr>
              <w:snapToGrid w:val="0"/>
              <w:spacing w:before="100" w:beforeAutospacing="1" w:after="100" w:afterAutospacing="1"/>
              <w:jc w:val="center"/>
              <w:rPr>
                <w:rFonts w:ascii="宋体" w:hAnsi="宋体"/>
                <w:sz w:val="22"/>
              </w:rPr>
            </w:pPr>
            <w:r>
              <w:rPr>
                <w:rFonts w:hint="eastAsia" w:ascii="宋体" w:hAnsi="宋体"/>
                <w:sz w:val="22"/>
              </w:rPr>
              <w:t>旋翼式冷水水表</w:t>
            </w:r>
          </w:p>
        </w:tc>
        <w:tc>
          <w:tcPr>
            <w:tcW w:w="613" w:type="pct"/>
            <w:vAlign w:val="center"/>
          </w:tcPr>
          <w:p w14:paraId="37FD8761">
            <w:pPr>
              <w:snapToGrid w:val="0"/>
              <w:spacing w:before="100" w:beforeAutospacing="1" w:after="100" w:afterAutospacing="1"/>
              <w:jc w:val="center"/>
              <w:rPr>
                <w:rFonts w:ascii="宋体" w:hAnsi="宋体"/>
                <w:sz w:val="22"/>
              </w:rPr>
            </w:pPr>
            <w:r>
              <w:rPr>
                <w:rFonts w:hint="eastAsia" w:ascii="宋体" w:hAnsi="宋体"/>
                <w:sz w:val="22"/>
              </w:rPr>
              <w:t>50</w:t>
            </w:r>
          </w:p>
        </w:tc>
        <w:tc>
          <w:tcPr>
            <w:tcW w:w="684" w:type="pct"/>
            <w:vAlign w:val="center"/>
          </w:tcPr>
          <w:p w14:paraId="66C07B5A">
            <w:pPr>
              <w:snapToGrid w:val="0"/>
              <w:spacing w:before="100" w:beforeAutospacing="1" w:after="100" w:afterAutospacing="1"/>
              <w:jc w:val="center"/>
              <w:rPr>
                <w:rFonts w:ascii="宋体" w:hAnsi="宋体"/>
                <w:sz w:val="22"/>
              </w:rPr>
            </w:pPr>
            <w:r>
              <w:rPr>
                <w:rFonts w:hint="eastAsia" w:ascii="宋体" w:hAnsi="宋体"/>
                <w:sz w:val="22"/>
              </w:rPr>
              <w:t>25</w:t>
            </w:r>
          </w:p>
        </w:tc>
        <w:tc>
          <w:tcPr>
            <w:tcW w:w="549" w:type="pct"/>
            <w:vAlign w:val="center"/>
          </w:tcPr>
          <w:p w14:paraId="2DB7E5FD">
            <w:pPr>
              <w:snapToGrid w:val="0"/>
              <w:spacing w:before="100" w:beforeAutospacing="1" w:after="100" w:afterAutospacing="1"/>
              <w:jc w:val="center"/>
              <w:rPr>
                <w:rFonts w:ascii="宋体" w:hAnsi="宋体"/>
                <w:sz w:val="22"/>
              </w:rPr>
            </w:pPr>
            <w:r>
              <w:rPr>
                <w:rFonts w:hint="eastAsia" w:ascii="宋体" w:hAnsi="宋体"/>
                <w:sz w:val="22"/>
              </w:rPr>
              <w:t>100</w:t>
            </w:r>
          </w:p>
        </w:tc>
        <w:tc>
          <w:tcPr>
            <w:tcW w:w="714" w:type="pct"/>
            <w:vAlign w:val="center"/>
          </w:tcPr>
          <w:p w14:paraId="277E761B">
            <w:pPr>
              <w:snapToGrid w:val="0"/>
              <w:spacing w:before="100" w:beforeAutospacing="1" w:after="100" w:afterAutospacing="1"/>
              <w:jc w:val="center"/>
              <w:rPr>
                <w:rFonts w:ascii="宋体" w:hAnsi="宋体"/>
                <w:sz w:val="22"/>
              </w:rPr>
            </w:pPr>
            <w:r>
              <w:rPr>
                <w:rFonts w:hint="eastAsia" w:ascii="宋体" w:hAnsi="宋体"/>
                <w:sz w:val="22"/>
              </w:rPr>
              <w:t>1.6</w:t>
            </w:r>
          </w:p>
        </w:tc>
        <w:tc>
          <w:tcPr>
            <w:tcW w:w="610" w:type="pct"/>
            <w:vAlign w:val="center"/>
          </w:tcPr>
          <w:p w14:paraId="2999A014">
            <w:pPr>
              <w:snapToGrid w:val="0"/>
              <w:spacing w:before="100" w:beforeAutospacing="1" w:after="100" w:afterAutospacing="1"/>
              <w:jc w:val="center"/>
              <w:rPr>
                <w:rFonts w:ascii="宋体" w:hAnsi="宋体"/>
                <w:sz w:val="22"/>
              </w:rPr>
            </w:pPr>
            <w:r>
              <w:rPr>
                <w:rFonts w:hint="eastAsia" w:ascii="宋体" w:hAnsi="宋体"/>
                <w:sz w:val="22"/>
              </w:rPr>
              <w:t>0.0001</w:t>
            </w:r>
          </w:p>
        </w:tc>
        <w:tc>
          <w:tcPr>
            <w:tcW w:w="698" w:type="pct"/>
            <w:vAlign w:val="center"/>
          </w:tcPr>
          <w:p w14:paraId="76D85599">
            <w:pPr>
              <w:snapToGrid w:val="0"/>
              <w:spacing w:before="100" w:beforeAutospacing="1" w:after="100" w:afterAutospacing="1"/>
              <w:jc w:val="center"/>
              <w:rPr>
                <w:rFonts w:ascii="宋体" w:hAnsi="宋体"/>
                <w:kern w:val="0"/>
                <w:sz w:val="22"/>
              </w:rPr>
            </w:pPr>
            <w:r>
              <w:rPr>
                <w:rFonts w:hint="eastAsia" w:ascii="宋体" w:hAnsi="宋体"/>
                <w:kern w:val="0"/>
                <w:sz w:val="22"/>
              </w:rPr>
              <w:t>99999</w:t>
            </w:r>
          </w:p>
        </w:tc>
      </w:tr>
      <w:tr w14:paraId="73FF8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400" w:type="pct"/>
            <w:vAlign w:val="center"/>
          </w:tcPr>
          <w:p w14:paraId="2ACBDFA0">
            <w:pPr>
              <w:snapToGrid w:val="0"/>
              <w:spacing w:before="100" w:beforeAutospacing="1" w:after="100" w:afterAutospacing="1"/>
              <w:jc w:val="center"/>
              <w:rPr>
                <w:rFonts w:ascii="宋体" w:hAnsi="宋体"/>
                <w:sz w:val="22"/>
              </w:rPr>
            </w:pPr>
            <w:r>
              <w:rPr>
                <w:rFonts w:hint="eastAsia" w:ascii="宋体" w:hAnsi="宋体"/>
                <w:sz w:val="22"/>
              </w:rPr>
              <w:t>6</w:t>
            </w:r>
          </w:p>
        </w:tc>
        <w:tc>
          <w:tcPr>
            <w:tcW w:w="729" w:type="pct"/>
            <w:vAlign w:val="center"/>
          </w:tcPr>
          <w:p w14:paraId="42ADA954">
            <w:pPr>
              <w:snapToGrid w:val="0"/>
              <w:spacing w:before="100" w:beforeAutospacing="1" w:after="100" w:afterAutospacing="1"/>
              <w:jc w:val="center"/>
              <w:rPr>
                <w:rFonts w:ascii="宋体" w:hAnsi="宋体"/>
                <w:sz w:val="22"/>
              </w:rPr>
            </w:pPr>
            <w:r>
              <w:rPr>
                <w:rFonts w:hint="eastAsia" w:ascii="宋体" w:hAnsi="宋体"/>
                <w:sz w:val="22"/>
              </w:rPr>
              <w:t>垂直螺翼式冷水表</w:t>
            </w:r>
          </w:p>
        </w:tc>
        <w:tc>
          <w:tcPr>
            <w:tcW w:w="613" w:type="pct"/>
            <w:vAlign w:val="center"/>
          </w:tcPr>
          <w:p w14:paraId="21348A9A">
            <w:pPr>
              <w:snapToGrid w:val="0"/>
              <w:spacing w:before="100" w:beforeAutospacing="1" w:after="100" w:afterAutospacing="1"/>
              <w:jc w:val="center"/>
              <w:rPr>
                <w:rFonts w:ascii="宋体" w:hAnsi="宋体"/>
                <w:sz w:val="22"/>
              </w:rPr>
            </w:pPr>
            <w:r>
              <w:rPr>
                <w:rFonts w:hint="eastAsia" w:ascii="宋体" w:hAnsi="宋体"/>
                <w:sz w:val="22"/>
              </w:rPr>
              <w:t>80</w:t>
            </w:r>
          </w:p>
        </w:tc>
        <w:tc>
          <w:tcPr>
            <w:tcW w:w="684" w:type="pct"/>
            <w:vAlign w:val="center"/>
          </w:tcPr>
          <w:p w14:paraId="4DAF844A">
            <w:pPr>
              <w:snapToGrid w:val="0"/>
              <w:spacing w:before="100" w:beforeAutospacing="1" w:after="100" w:afterAutospacing="1"/>
              <w:jc w:val="center"/>
              <w:rPr>
                <w:rFonts w:ascii="宋体" w:hAnsi="宋体"/>
                <w:sz w:val="22"/>
              </w:rPr>
            </w:pPr>
            <w:r>
              <w:rPr>
                <w:rFonts w:hint="eastAsia" w:ascii="宋体" w:hAnsi="宋体"/>
                <w:sz w:val="22"/>
              </w:rPr>
              <w:t>63</w:t>
            </w:r>
          </w:p>
        </w:tc>
        <w:tc>
          <w:tcPr>
            <w:tcW w:w="549" w:type="pct"/>
            <w:vAlign w:val="center"/>
          </w:tcPr>
          <w:p w14:paraId="2F742D3E">
            <w:pPr>
              <w:snapToGrid w:val="0"/>
              <w:spacing w:before="100" w:beforeAutospacing="1" w:after="100" w:afterAutospacing="1"/>
              <w:jc w:val="center"/>
              <w:rPr>
                <w:rFonts w:hint="default" w:ascii="宋体" w:hAnsi="宋体" w:eastAsia="宋体"/>
                <w:sz w:val="22"/>
                <w:lang w:val="en-US" w:eastAsia="zh-CN"/>
              </w:rPr>
            </w:pPr>
            <w:r>
              <w:rPr>
                <w:rFonts w:hint="eastAsia" w:ascii="宋体" w:hAnsi="宋体"/>
                <w:sz w:val="22"/>
                <w:lang w:val="en-US" w:eastAsia="zh-CN"/>
              </w:rPr>
              <w:t>200</w:t>
            </w:r>
          </w:p>
        </w:tc>
        <w:tc>
          <w:tcPr>
            <w:tcW w:w="714" w:type="pct"/>
            <w:vAlign w:val="center"/>
          </w:tcPr>
          <w:p w14:paraId="300EEE12">
            <w:pPr>
              <w:snapToGrid w:val="0"/>
              <w:spacing w:before="100" w:beforeAutospacing="1" w:after="100" w:afterAutospacing="1"/>
              <w:jc w:val="center"/>
              <w:rPr>
                <w:rFonts w:ascii="宋体" w:hAnsi="宋体"/>
                <w:sz w:val="22"/>
              </w:rPr>
            </w:pPr>
            <w:r>
              <w:rPr>
                <w:rFonts w:hint="eastAsia" w:ascii="宋体" w:hAnsi="宋体"/>
                <w:sz w:val="22"/>
              </w:rPr>
              <w:t>1.6</w:t>
            </w:r>
          </w:p>
        </w:tc>
        <w:tc>
          <w:tcPr>
            <w:tcW w:w="610" w:type="pct"/>
            <w:vAlign w:val="center"/>
          </w:tcPr>
          <w:p w14:paraId="2E250FF1">
            <w:pPr>
              <w:snapToGrid w:val="0"/>
              <w:spacing w:before="100" w:beforeAutospacing="1" w:after="100" w:afterAutospacing="1"/>
              <w:jc w:val="center"/>
              <w:rPr>
                <w:rFonts w:ascii="宋体" w:hAnsi="宋体"/>
                <w:sz w:val="22"/>
              </w:rPr>
            </w:pPr>
            <w:r>
              <w:rPr>
                <w:rFonts w:hint="eastAsia" w:ascii="宋体" w:hAnsi="宋体"/>
                <w:sz w:val="22"/>
              </w:rPr>
              <w:t>0.001</w:t>
            </w:r>
          </w:p>
        </w:tc>
        <w:tc>
          <w:tcPr>
            <w:tcW w:w="698" w:type="pct"/>
            <w:vAlign w:val="center"/>
          </w:tcPr>
          <w:p w14:paraId="2D14804B">
            <w:pPr>
              <w:snapToGrid w:val="0"/>
              <w:spacing w:before="100" w:beforeAutospacing="1" w:after="100" w:afterAutospacing="1"/>
              <w:jc w:val="center"/>
              <w:rPr>
                <w:rFonts w:ascii="宋体" w:hAnsi="宋体"/>
                <w:kern w:val="0"/>
                <w:sz w:val="22"/>
              </w:rPr>
            </w:pPr>
            <w:r>
              <w:rPr>
                <w:rFonts w:hint="eastAsia" w:ascii="宋体" w:hAnsi="宋体"/>
                <w:kern w:val="0"/>
                <w:sz w:val="22"/>
              </w:rPr>
              <w:t>999999</w:t>
            </w:r>
          </w:p>
        </w:tc>
      </w:tr>
      <w:tr w14:paraId="62DA8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400" w:type="pct"/>
            <w:vAlign w:val="center"/>
          </w:tcPr>
          <w:p w14:paraId="701EC39C">
            <w:pPr>
              <w:snapToGrid w:val="0"/>
              <w:spacing w:before="100" w:beforeAutospacing="1" w:after="100" w:afterAutospacing="1"/>
              <w:jc w:val="center"/>
              <w:rPr>
                <w:rFonts w:ascii="宋体" w:hAnsi="宋体"/>
                <w:sz w:val="22"/>
              </w:rPr>
            </w:pPr>
            <w:r>
              <w:rPr>
                <w:rFonts w:hint="eastAsia" w:ascii="宋体" w:hAnsi="宋体"/>
                <w:sz w:val="22"/>
              </w:rPr>
              <w:t>7</w:t>
            </w:r>
          </w:p>
        </w:tc>
        <w:tc>
          <w:tcPr>
            <w:tcW w:w="729" w:type="pct"/>
            <w:vAlign w:val="center"/>
          </w:tcPr>
          <w:p w14:paraId="50254993">
            <w:pPr>
              <w:snapToGrid w:val="0"/>
              <w:spacing w:before="100" w:beforeAutospacing="1" w:after="100" w:afterAutospacing="1"/>
              <w:jc w:val="center"/>
              <w:rPr>
                <w:rFonts w:ascii="宋体" w:hAnsi="宋体"/>
                <w:sz w:val="22"/>
              </w:rPr>
            </w:pPr>
            <w:r>
              <w:rPr>
                <w:rFonts w:hint="eastAsia" w:ascii="宋体" w:hAnsi="宋体"/>
                <w:sz w:val="22"/>
              </w:rPr>
              <w:t>垂直螺翼式冷水表</w:t>
            </w:r>
          </w:p>
        </w:tc>
        <w:tc>
          <w:tcPr>
            <w:tcW w:w="613" w:type="pct"/>
            <w:vAlign w:val="center"/>
          </w:tcPr>
          <w:p w14:paraId="51C0795F">
            <w:pPr>
              <w:snapToGrid w:val="0"/>
              <w:spacing w:before="100" w:beforeAutospacing="1" w:after="100" w:afterAutospacing="1"/>
              <w:jc w:val="center"/>
              <w:rPr>
                <w:rFonts w:ascii="宋体" w:hAnsi="宋体"/>
                <w:sz w:val="22"/>
              </w:rPr>
            </w:pPr>
            <w:r>
              <w:rPr>
                <w:rFonts w:hint="eastAsia" w:ascii="宋体" w:hAnsi="宋体"/>
                <w:sz w:val="22"/>
              </w:rPr>
              <w:t>100</w:t>
            </w:r>
          </w:p>
        </w:tc>
        <w:tc>
          <w:tcPr>
            <w:tcW w:w="684" w:type="pct"/>
            <w:vAlign w:val="center"/>
          </w:tcPr>
          <w:p w14:paraId="6486B734">
            <w:pPr>
              <w:snapToGrid w:val="0"/>
              <w:spacing w:before="100" w:beforeAutospacing="1" w:after="100" w:afterAutospacing="1"/>
              <w:jc w:val="center"/>
              <w:rPr>
                <w:rFonts w:ascii="宋体" w:hAnsi="宋体"/>
                <w:sz w:val="22"/>
              </w:rPr>
            </w:pPr>
            <w:r>
              <w:rPr>
                <w:rFonts w:hint="eastAsia" w:ascii="宋体" w:hAnsi="宋体"/>
                <w:sz w:val="22"/>
              </w:rPr>
              <w:t>100</w:t>
            </w:r>
          </w:p>
        </w:tc>
        <w:tc>
          <w:tcPr>
            <w:tcW w:w="549" w:type="pct"/>
            <w:vAlign w:val="center"/>
          </w:tcPr>
          <w:p w14:paraId="34695FEA">
            <w:pPr>
              <w:snapToGrid w:val="0"/>
              <w:spacing w:before="100" w:beforeAutospacing="1" w:after="100" w:afterAutospacing="1"/>
              <w:jc w:val="center"/>
              <w:rPr>
                <w:rFonts w:hint="default" w:ascii="宋体" w:hAnsi="宋体" w:eastAsia="宋体"/>
                <w:sz w:val="22"/>
                <w:lang w:val="en-US" w:eastAsia="zh-CN"/>
              </w:rPr>
            </w:pPr>
            <w:r>
              <w:rPr>
                <w:rFonts w:hint="eastAsia" w:ascii="宋体" w:hAnsi="宋体"/>
                <w:sz w:val="22"/>
                <w:lang w:val="en-US" w:eastAsia="zh-CN"/>
              </w:rPr>
              <w:t>200</w:t>
            </w:r>
          </w:p>
        </w:tc>
        <w:tc>
          <w:tcPr>
            <w:tcW w:w="714" w:type="pct"/>
            <w:vAlign w:val="center"/>
          </w:tcPr>
          <w:p w14:paraId="7B437547">
            <w:pPr>
              <w:snapToGrid w:val="0"/>
              <w:spacing w:before="100" w:beforeAutospacing="1" w:after="100" w:afterAutospacing="1"/>
              <w:jc w:val="center"/>
              <w:rPr>
                <w:rFonts w:ascii="宋体" w:hAnsi="宋体"/>
                <w:sz w:val="22"/>
              </w:rPr>
            </w:pPr>
            <w:r>
              <w:rPr>
                <w:rFonts w:hint="eastAsia" w:ascii="宋体" w:hAnsi="宋体"/>
                <w:sz w:val="22"/>
              </w:rPr>
              <w:t>1.6</w:t>
            </w:r>
          </w:p>
        </w:tc>
        <w:tc>
          <w:tcPr>
            <w:tcW w:w="610" w:type="pct"/>
            <w:vAlign w:val="center"/>
          </w:tcPr>
          <w:p w14:paraId="2F926E89">
            <w:pPr>
              <w:snapToGrid w:val="0"/>
              <w:spacing w:before="100" w:beforeAutospacing="1" w:after="100" w:afterAutospacing="1"/>
              <w:jc w:val="center"/>
              <w:rPr>
                <w:rFonts w:ascii="宋体" w:hAnsi="宋体"/>
                <w:sz w:val="22"/>
              </w:rPr>
            </w:pPr>
            <w:r>
              <w:rPr>
                <w:rFonts w:hint="eastAsia" w:ascii="宋体" w:hAnsi="宋体"/>
                <w:sz w:val="22"/>
              </w:rPr>
              <w:t>0.001</w:t>
            </w:r>
          </w:p>
        </w:tc>
        <w:tc>
          <w:tcPr>
            <w:tcW w:w="698" w:type="pct"/>
            <w:vAlign w:val="center"/>
          </w:tcPr>
          <w:p w14:paraId="4D03BF3C">
            <w:pPr>
              <w:snapToGrid w:val="0"/>
              <w:spacing w:before="100" w:beforeAutospacing="1" w:after="100" w:afterAutospacing="1"/>
              <w:jc w:val="center"/>
              <w:rPr>
                <w:rFonts w:ascii="宋体" w:hAnsi="宋体"/>
                <w:kern w:val="0"/>
                <w:sz w:val="22"/>
              </w:rPr>
            </w:pPr>
            <w:r>
              <w:rPr>
                <w:rFonts w:hint="eastAsia" w:ascii="宋体" w:hAnsi="宋体"/>
                <w:kern w:val="0"/>
                <w:sz w:val="22"/>
              </w:rPr>
              <w:t>999999</w:t>
            </w:r>
          </w:p>
        </w:tc>
      </w:tr>
      <w:tr w14:paraId="3B5AD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400" w:type="pct"/>
            <w:vAlign w:val="center"/>
          </w:tcPr>
          <w:p w14:paraId="0F80806F">
            <w:pPr>
              <w:snapToGrid w:val="0"/>
              <w:spacing w:before="100" w:beforeAutospacing="1" w:after="100" w:afterAutospacing="1"/>
              <w:jc w:val="center"/>
              <w:rPr>
                <w:rFonts w:ascii="宋体" w:hAnsi="宋体"/>
                <w:sz w:val="22"/>
              </w:rPr>
            </w:pPr>
            <w:r>
              <w:rPr>
                <w:rFonts w:hint="eastAsia" w:ascii="宋体" w:hAnsi="宋体"/>
                <w:sz w:val="22"/>
              </w:rPr>
              <w:t>8</w:t>
            </w:r>
          </w:p>
        </w:tc>
        <w:tc>
          <w:tcPr>
            <w:tcW w:w="729" w:type="pct"/>
            <w:vAlign w:val="center"/>
          </w:tcPr>
          <w:p w14:paraId="3CACDBBD">
            <w:pPr>
              <w:snapToGrid w:val="0"/>
              <w:spacing w:before="100" w:beforeAutospacing="1" w:after="100" w:afterAutospacing="1"/>
              <w:jc w:val="center"/>
              <w:rPr>
                <w:rFonts w:ascii="宋体" w:hAnsi="宋体"/>
                <w:sz w:val="22"/>
              </w:rPr>
            </w:pPr>
            <w:r>
              <w:rPr>
                <w:rFonts w:hint="eastAsia" w:ascii="宋体" w:hAnsi="宋体"/>
                <w:sz w:val="22"/>
              </w:rPr>
              <w:t>垂直螺翼式冷水表</w:t>
            </w:r>
          </w:p>
        </w:tc>
        <w:tc>
          <w:tcPr>
            <w:tcW w:w="613" w:type="pct"/>
            <w:vAlign w:val="center"/>
          </w:tcPr>
          <w:p w14:paraId="2D661357">
            <w:pPr>
              <w:snapToGrid w:val="0"/>
              <w:spacing w:before="100" w:beforeAutospacing="1" w:after="100" w:afterAutospacing="1"/>
              <w:jc w:val="center"/>
              <w:rPr>
                <w:rFonts w:ascii="宋体" w:hAnsi="宋体"/>
                <w:sz w:val="22"/>
              </w:rPr>
            </w:pPr>
            <w:r>
              <w:rPr>
                <w:rFonts w:hint="eastAsia" w:ascii="宋体" w:hAnsi="宋体"/>
                <w:sz w:val="22"/>
              </w:rPr>
              <w:t>150</w:t>
            </w:r>
          </w:p>
        </w:tc>
        <w:tc>
          <w:tcPr>
            <w:tcW w:w="684" w:type="pct"/>
            <w:vAlign w:val="center"/>
          </w:tcPr>
          <w:p w14:paraId="53F08B05">
            <w:pPr>
              <w:snapToGrid w:val="0"/>
              <w:spacing w:before="100" w:beforeAutospacing="1" w:after="100" w:afterAutospacing="1"/>
              <w:jc w:val="center"/>
              <w:rPr>
                <w:rFonts w:ascii="宋体" w:hAnsi="宋体"/>
                <w:sz w:val="22"/>
              </w:rPr>
            </w:pPr>
            <w:r>
              <w:rPr>
                <w:rFonts w:hint="eastAsia" w:ascii="宋体" w:hAnsi="宋体"/>
                <w:sz w:val="22"/>
              </w:rPr>
              <w:t>250</w:t>
            </w:r>
          </w:p>
        </w:tc>
        <w:tc>
          <w:tcPr>
            <w:tcW w:w="549" w:type="pct"/>
            <w:vAlign w:val="center"/>
          </w:tcPr>
          <w:p w14:paraId="65FFB77B">
            <w:pPr>
              <w:snapToGrid w:val="0"/>
              <w:spacing w:before="100" w:beforeAutospacing="1" w:after="100" w:afterAutospacing="1"/>
              <w:jc w:val="center"/>
              <w:rPr>
                <w:rFonts w:hint="default" w:ascii="宋体" w:hAnsi="宋体" w:eastAsia="宋体"/>
                <w:sz w:val="22"/>
                <w:lang w:val="en-US" w:eastAsia="zh-CN"/>
              </w:rPr>
            </w:pPr>
            <w:r>
              <w:rPr>
                <w:rFonts w:hint="eastAsia" w:ascii="宋体" w:hAnsi="宋体"/>
                <w:sz w:val="22"/>
                <w:lang w:val="en-US" w:eastAsia="zh-CN"/>
              </w:rPr>
              <w:t>200</w:t>
            </w:r>
          </w:p>
        </w:tc>
        <w:tc>
          <w:tcPr>
            <w:tcW w:w="714" w:type="pct"/>
            <w:vAlign w:val="center"/>
          </w:tcPr>
          <w:p w14:paraId="544D3B92">
            <w:pPr>
              <w:snapToGrid w:val="0"/>
              <w:spacing w:before="100" w:beforeAutospacing="1" w:after="100" w:afterAutospacing="1"/>
              <w:jc w:val="center"/>
              <w:rPr>
                <w:rFonts w:ascii="宋体" w:hAnsi="宋体"/>
                <w:sz w:val="22"/>
              </w:rPr>
            </w:pPr>
            <w:r>
              <w:rPr>
                <w:rFonts w:hint="eastAsia" w:ascii="宋体" w:hAnsi="宋体"/>
                <w:sz w:val="22"/>
              </w:rPr>
              <w:t>1.6</w:t>
            </w:r>
          </w:p>
        </w:tc>
        <w:tc>
          <w:tcPr>
            <w:tcW w:w="610" w:type="pct"/>
            <w:vAlign w:val="center"/>
          </w:tcPr>
          <w:p w14:paraId="70B1BBF0">
            <w:pPr>
              <w:snapToGrid w:val="0"/>
              <w:spacing w:before="100" w:beforeAutospacing="1" w:after="100" w:afterAutospacing="1"/>
              <w:jc w:val="center"/>
              <w:rPr>
                <w:rFonts w:ascii="宋体" w:hAnsi="宋体"/>
                <w:sz w:val="22"/>
              </w:rPr>
            </w:pPr>
            <w:r>
              <w:rPr>
                <w:rFonts w:hint="eastAsia" w:ascii="宋体" w:hAnsi="宋体"/>
                <w:sz w:val="22"/>
              </w:rPr>
              <w:t>0.001</w:t>
            </w:r>
          </w:p>
        </w:tc>
        <w:tc>
          <w:tcPr>
            <w:tcW w:w="698" w:type="pct"/>
            <w:vAlign w:val="center"/>
          </w:tcPr>
          <w:p w14:paraId="1A89F983">
            <w:pPr>
              <w:snapToGrid w:val="0"/>
              <w:spacing w:before="100" w:beforeAutospacing="1" w:after="100" w:afterAutospacing="1"/>
              <w:jc w:val="center"/>
              <w:rPr>
                <w:rFonts w:ascii="宋体" w:hAnsi="宋体"/>
                <w:kern w:val="0"/>
                <w:sz w:val="22"/>
              </w:rPr>
            </w:pPr>
            <w:r>
              <w:rPr>
                <w:rFonts w:hint="eastAsia" w:ascii="宋体" w:hAnsi="宋体"/>
                <w:kern w:val="0"/>
                <w:sz w:val="22"/>
              </w:rPr>
              <w:t>999999</w:t>
            </w:r>
          </w:p>
        </w:tc>
      </w:tr>
      <w:tr w14:paraId="46800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400" w:type="pct"/>
            <w:vAlign w:val="center"/>
          </w:tcPr>
          <w:p w14:paraId="37538732">
            <w:pPr>
              <w:snapToGrid w:val="0"/>
              <w:spacing w:before="100" w:beforeAutospacing="1" w:after="100" w:afterAutospacing="1"/>
              <w:jc w:val="center"/>
              <w:rPr>
                <w:rFonts w:hint="eastAsia" w:ascii="宋体" w:hAnsi="宋体" w:eastAsia="宋体"/>
                <w:sz w:val="22"/>
                <w:lang w:val="en-US" w:eastAsia="zh-CN"/>
              </w:rPr>
            </w:pPr>
            <w:r>
              <w:rPr>
                <w:rFonts w:hint="eastAsia" w:ascii="宋体" w:hAnsi="宋体"/>
                <w:sz w:val="22"/>
                <w:lang w:val="en-US" w:eastAsia="zh-CN"/>
              </w:rPr>
              <w:t>9</w:t>
            </w:r>
          </w:p>
        </w:tc>
        <w:tc>
          <w:tcPr>
            <w:tcW w:w="729" w:type="pct"/>
            <w:vAlign w:val="center"/>
          </w:tcPr>
          <w:p w14:paraId="6A6D19DD">
            <w:pPr>
              <w:snapToGrid w:val="0"/>
              <w:spacing w:before="100" w:beforeAutospacing="1" w:after="100" w:afterAutospacing="1"/>
              <w:jc w:val="center"/>
              <w:rPr>
                <w:rFonts w:hint="eastAsia" w:ascii="宋体" w:hAnsi="宋体"/>
                <w:sz w:val="22"/>
              </w:rPr>
            </w:pPr>
            <w:r>
              <w:rPr>
                <w:rFonts w:hint="eastAsia" w:ascii="宋体" w:hAnsi="宋体"/>
                <w:sz w:val="22"/>
              </w:rPr>
              <w:t>垂直螺翼式冷水表</w:t>
            </w:r>
          </w:p>
        </w:tc>
        <w:tc>
          <w:tcPr>
            <w:tcW w:w="613" w:type="pct"/>
            <w:vAlign w:val="center"/>
          </w:tcPr>
          <w:p w14:paraId="600BDE01">
            <w:pPr>
              <w:snapToGrid w:val="0"/>
              <w:spacing w:before="100" w:beforeAutospacing="1" w:after="100" w:afterAutospacing="1"/>
              <w:jc w:val="center"/>
              <w:rPr>
                <w:rFonts w:hint="default" w:ascii="宋体" w:hAnsi="宋体" w:eastAsia="宋体"/>
                <w:sz w:val="22"/>
                <w:lang w:val="en-US" w:eastAsia="zh-CN"/>
              </w:rPr>
            </w:pPr>
            <w:r>
              <w:rPr>
                <w:rFonts w:hint="eastAsia" w:ascii="宋体" w:hAnsi="宋体"/>
                <w:sz w:val="22"/>
                <w:lang w:val="en-US" w:eastAsia="zh-CN"/>
              </w:rPr>
              <w:t>200</w:t>
            </w:r>
          </w:p>
        </w:tc>
        <w:tc>
          <w:tcPr>
            <w:tcW w:w="684" w:type="pct"/>
            <w:vAlign w:val="center"/>
          </w:tcPr>
          <w:p w14:paraId="44594BB4">
            <w:pPr>
              <w:snapToGrid w:val="0"/>
              <w:spacing w:before="100" w:beforeAutospacing="1" w:after="100" w:afterAutospacing="1"/>
              <w:jc w:val="center"/>
              <w:rPr>
                <w:rFonts w:hint="default" w:ascii="宋体" w:hAnsi="宋体" w:eastAsia="宋体"/>
                <w:sz w:val="22"/>
                <w:lang w:val="en-US" w:eastAsia="zh-CN"/>
              </w:rPr>
            </w:pPr>
            <w:r>
              <w:rPr>
                <w:rFonts w:hint="eastAsia" w:ascii="宋体" w:hAnsi="宋体"/>
                <w:sz w:val="22"/>
                <w:lang w:val="en-US" w:eastAsia="zh-CN"/>
              </w:rPr>
              <w:t>400</w:t>
            </w:r>
          </w:p>
        </w:tc>
        <w:tc>
          <w:tcPr>
            <w:tcW w:w="549" w:type="pct"/>
            <w:vAlign w:val="center"/>
          </w:tcPr>
          <w:p w14:paraId="71BF7AC2">
            <w:pPr>
              <w:snapToGrid w:val="0"/>
              <w:spacing w:before="100" w:beforeAutospacing="1" w:after="100" w:afterAutospacing="1"/>
              <w:jc w:val="center"/>
              <w:rPr>
                <w:rFonts w:hint="default" w:ascii="宋体" w:hAnsi="宋体" w:eastAsia="宋体"/>
                <w:sz w:val="22"/>
                <w:lang w:val="en-US" w:eastAsia="zh-CN"/>
              </w:rPr>
            </w:pPr>
            <w:r>
              <w:rPr>
                <w:rFonts w:hint="eastAsia" w:ascii="宋体" w:hAnsi="宋体"/>
                <w:sz w:val="22"/>
                <w:lang w:val="en-US" w:eastAsia="zh-CN"/>
              </w:rPr>
              <w:t>200</w:t>
            </w:r>
          </w:p>
        </w:tc>
        <w:tc>
          <w:tcPr>
            <w:tcW w:w="714" w:type="pct"/>
            <w:vAlign w:val="center"/>
          </w:tcPr>
          <w:p w14:paraId="3640A68D">
            <w:pPr>
              <w:snapToGrid w:val="0"/>
              <w:spacing w:before="100" w:beforeAutospacing="1" w:after="100" w:afterAutospacing="1"/>
              <w:jc w:val="center"/>
              <w:rPr>
                <w:rFonts w:hint="eastAsia" w:ascii="宋体" w:hAnsi="宋体" w:eastAsia="宋体" w:cs="Times New Roman"/>
                <w:kern w:val="2"/>
                <w:sz w:val="22"/>
                <w:szCs w:val="24"/>
                <w:lang w:val="en-US" w:eastAsia="zh-CN" w:bidi="ar-SA"/>
              </w:rPr>
            </w:pPr>
            <w:r>
              <w:rPr>
                <w:rFonts w:hint="eastAsia" w:ascii="宋体" w:hAnsi="宋体"/>
                <w:sz w:val="22"/>
              </w:rPr>
              <w:t>1.6</w:t>
            </w:r>
          </w:p>
        </w:tc>
        <w:tc>
          <w:tcPr>
            <w:tcW w:w="610" w:type="pct"/>
            <w:vAlign w:val="center"/>
          </w:tcPr>
          <w:p w14:paraId="5BCC9B3A">
            <w:pPr>
              <w:snapToGrid w:val="0"/>
              <w:spacing w:before="100" w:beforeAutospacing="1" w:after="100" w:afterAutospacing="1"/>
              <w:jc w:val="center"/>
              <w:rPr>
                <w:rFonts w:hint="eastAsia" w:ascii="宋体" w:hAnsi="宋体" w:eastAsia="宋体" w:cs="Times New Roman"/>
                <w:kern w:val="2"/>
                <w:sz w:val="22"/>
                <w:szCs w:val="24"/>
                <w:lang w:val="en-US" w:eastAsia="zh-CN" w:bidi="ar-SA"/>
              </w:rPr>
            </w:pPr>
            <w:r>
              <w:rPr>
                <w:rFonts w:hint="eastAsia" w:ascii="宋体" w:hAnsi="宋体"/>
                <w:sz w:val="22"/>
              </w:rPr>
              <w:t>0.001</w:t>
            </w:r>
          </w:p>
        </w:tc>
        <w:tc>
          <w:tcPr>
            <w:tcW w:w="698" w:type="pct"/>
            <w:vAlign w:val="center"/>
          </w:tcPr>
          <w:p w14:paraId="505BE579">
            <w:pPr>
              <w:snapToGrid w:val="0"/>
              <w:spacing w:before="100" w:beforeAutospacing="1" w:after="100" w:afterAutospacing="1"/>
              <w:jc w:val="center"/>
              <w:rPr>
                <w:rFonts w:hint="eastAsia" w:ascii="宋体" w:hAnsi="宋体" w:eastAsia="宋体" w:cs="Times New Roman"/>
                <w:kern w:val="0"/>
                <w:sz w:val="22"/>
                <w:szCs w:val="24"/>
                <w:lang w:val="en-US" w:eastAsia="zh-CN" w:bidi="ar-SA"/>
              </w:rPr>
            </w:pPr>
            <w:r>
              <w:rPr>
                <w:rFonts w:hint="eastAsia" w:ascii="宋体" w:hAnsi="宋体"/>
                <w:kern w:val="0"/>
                <w:sz w:val="22"/>
              </w:rPr>
              <w:t>999999</w:t>
            </w:r>
          </w:p>
        </w:tc>
      </w:tr>
    </w:tbl>
    <w:p w14:paraId="00FB1923">
      <w:pPr>
        <w:pStyle w:val="31"/>
        <w:spacing w:line="460" w:lineRule="exact"/>
        <w:ind w:firstLine="0" w:firstLineChars="0"/>
        <w:rPr>
          <w:rFonts w:ascii="新宋体" w:hAnsi="新宋体" w:eastAsia="新宋体"/>
        </w:rPr>
      </w:pPr>
      <w:r>
        <w:rPr>
          <w:rFonts w:hint="eastAsia" w:ascii="新宋体" w:hAnsi="新宋体" w:eastAsia="新宋体"/>
        </w:rPr>
        <w:t>2、相关特征：</w:t>
      </w:r>
    </w:p>
    <w:p w14:paraId="5D35B14E">
      <w:pPr>
        <w:pStyle w:val="61"/>
        <w:numPr>
          <w:ilvl w:val="1"/>
          <w:numId w:val="1"/>
        </w:numPr>
        <w:autoSpaceDE w:val="0"/>
        <w:autoSpaceDN w:val="0"/>
        <w:spacing w:line="460" w:lineRule="exact"/>
        <w:ind w:firstLineChars="0"/>
        <w:jc w:val="left"/>
        <w:rPr>
          <w:rFonts w:ascii="宋体" w:hAnsi="宋体" w:cs="宋体"/>
          <w:sz w:val="24"/>
          <w:szCs w:val="21"/>
        </w:rPr>
      </w:pPr>
      <w:r>
        <w:rPr>
          <w:rFonts w:hint="eastAsia" w:ascii="宋体" w:hAnsi="宋体" w:cs="宋体"/>
          <w:sz w:val="24"/>
          <w:szCs w:val="21"/>
        </w:rPr>
        <w:t>设备类型: NB-IOT分体式模块无线远传水表</w:t>
      </w:r>
    </w:p>
    <w:p w14:paraId="745B8DAE">
      <w:pPr>
        <w:pStyle w:val="61"/>
        <w:numPr>
          <w:ilvl w:val="1"/>
          <w:numId w:val="1"/>
        </w:numPr>
        <w:autoSpaceDE w:val="0"/>
        <w:autoSpaceDN w:val="0"/>
        <w:spacing w:line="460" w:lineRule="exact"/>
        <w:ind w:firstLineChars="0"/>
        <w:jc w:val="left"/>
        <w:rPr>
          <w:rFonts w:ascii="宋体" w:hAnsi="宋体" w:cs="宋体"/>
          <w:sz w:val="24"/>
          <w:szCs w:val="21"/>
        </w:rPr>
      </w:pPr>
      <w:r>
        <w:rPr>
          <w:rFonts w:hint="eastAsia" w:ascii="宋体" w:hAnsi="宋体" w:cs="宋体"/>
          <w:sz w:val="24"/>
          <w:szCs w:val="21"/>
        </w:rPr>
        <w:t>调制方式: NB-IOT网络(电信,移动,联通)</w:t>
      </w:r>
    </w:p>
    <w:p w14:paraId="3B3D5000">
      <w:pPr>
        <w:pStyle w:val="61"/>
        <w:numPr>
          <w:ilvl w:val="1"/>
          <w:numId w:val="1"/>
        </w:numPr>
        <w:snapToGrid w:val="0"/>
        <w:spacing w:line="460" w:lineRule="exact"/>
        <w:ind w:firstLineChars="0"/>
        <w:rPr>
          <w:rFonts w:ascii="宋体" w:hAnsi="宋体" w:cs="宋体"/>
          <w:sz w:val="24"/>
          <w:szCs w:val="21"/>
        </w:rPr>
      </w:pPr>
      <w:r>
        <w:rPr>
          <w:rFonts w:hint="eastAsia" w:ascii="宋体" w:hAnsi="宋体" w:cs="宋体"/>
          <w:sz w:val="24"/>
          <w:szCs w:val="21"/>
        </w:rPr>
        <w:t>水表口径：DN</w:t>
      </w:r>
      <w:r>
        <w:rPr>
          <w:rFonts w:ascii="宋体" w:hAnsi="宋体" w:cs="宋体"/>
          <w:sz w:val="24"/>
          <w:szCs w:val="21"/>
        </w:rPr>
        <w:t>15-</w:t>
      </w:r>
      <w:r>
        <w:rPr>
          <w:rFonts w:hint="eastAsia" w:ascii="宋体" w:hAnsi="宋体" w:cs="宋体"/>
          <w:sz w:val="24"/>
          <w:szCs w:val="21"/>
          <w:lang w:val="en-US" w:eastAsia="zh-CN"/>
        </w:rPr>
        <w:t>20</w:t>
      </w:r>
      <w:r>
        <w:rPr>
          <w:rFonts w:hint="eastAsia" w:ascii="宋体" w:hAnsi="宋体" w:cs="宋体"/>
          <w:sz w:val="24"/>
          <w:szCs w:val="21"/>
        </w:rPr>
        <w:t>0</w:t>
      </w:r>
    </w:p>
    <w:p w14:paraId="0DEEA466">
      <w:pPr>
        <w:pStyle w:val="61"/>
        <w:numPr>
          <w:ilvl w:val="1"/>
          <w:numId w:val="1"/>
        </w:numPr>
        <w:snapToGrid w:val="0"/>
        <w:spacing w:line="460" w:lineRule="exact"/>
        <w:ind w:firstLineChars="0"/>
        <w:rPr>
          <w:rFonts w:ascii="宋体" w:hAnsi="宋体" w:cs="宋体"/>
          <w:sz w:val="24"/>
          <w:szCs w:val="21"/>
        </w:rPr>
      </w:pPr>
      <w:r>
        <w:rPr>
          <w:rFonts w:hint="eastAsia" w:ascii="宋体" w:hAnsi="宋体" w:cs="宋体"/>
          <w:sz w:val="24"/>
          <w:szCs w:val="21"/>
        </w:rPr>
        <w:t xml:space="preserve">水表壳体: </w:t>
      </w:r>
      <w:r>
        <w:rPr>
          <w:rFonts w:hint="eastAsia" w:ascii="宋体" w:hAnsi="宋体" w:cs="宋体"/>
          <w:sz w:val="24"/>
          <w:szCs w:val="21"/>
          <w:lang w:val="en-US" w:eastAsia="zh-CN"/>
        </w:rPr>
        <w:t>DN15-50不锈钢，DN80-200</w:t>
      </w:r>
      <w:r>
        <w:rPr>
          <w:rFonts w:hint="eastAsia" w:ascii="宋体" w:hAnsi="宋体" w:cs="宋体"/>
          <w:sz w:val="24"/>
          <w:szCs w:val="21"/>
        </w:rPr>
        <w:t>球墨铸铁</w:t>
      </w:r>
    </w:p>
    <w:p w14:paraId="54B664D0">
      <w:pPr>
        <w:pStyle w:val="61"/>
        <w:numPr>
          <w:ilvl w:val="1"/>
          <w:numId w:val="1"/>
        </w:numPr>
        <w:snapToGrid w:val="0"/>
        <w:spacing w:beforeLines="50" w:afterLines="50" w:line="460" w:lineRule="exact"/>
        <w:ind w:firstLineChars="0"/>
        <w:rPr>
          <w:rFonts w:hint="default" w:ascii="宋体" w:hAnsi="宋体" w:cs="宋体"/>
          <w:bCs/>
          <w:sz w:val="24"/>
          <w:lang w:val="en-US"/>
        </w:rPr>
      </w:pPr>
      <w:r>
        <w:rPr>
          <w:rFonts w:hint="eastAsia" w:ascii="宋体" w:hAnsi="宋体" w:cs="宋体"/>
          <w:sz w:val="24"/>
          <w:szCs w:val="21"/>
        </w:rPr>
        <w:t>精度等级：口径DN15-DN5</w:t>
      </w:r>
      <w:r>
        <w:rPr>
          <w:rFonts w:ascii="宋体" w:hAnsi="宋体" w:cs="宋体"/>
          <w:sz w:val="24"/>
          <w:szCs w:val="21"/>
        </w:rPr>
        <w:t>0</w:t>
      </w:r>
      <w:r>
        <w:rPr>
          <w:rFonts w:hint="eastAsia" w:ascii="宋体" w:hAnsi="宋体" w:cs="宋体"/>
          <w:sz w:val="24"/>
          <w:szCs w:val="21"/>
        </w:rPr>
        <w:t>:Q3/Q1</w:t>
      </w:r>
      <w:r>
        <w:rPr>
          <w:rFonts w:hint="eastAsia" w:ascii="宋体" w:hAnsi="宋体" w:cs="仿宋"/>
          <w:sz w:val="24"/>
          <w:lang w:val="en-US" w:eastAsia="zh-CN"/>
        </w:rPr>
        <w:t>=</w:t>
      </w:r>
      <w:r>
        <w:rPr>
          <w:rFonts w:hint="eastAsia" w:ascii="宋体" w:hAnsi="宋体" w:cs="宋体"/>
          <w:sz w:val="24"/>
          <w:szCs w:val="21"/>
        </w:rPr>
        <w:t>100;口径DN80-</w:t>
      </w:r>
      <w:r>
        <w:rPr>
          <w:rFonts w:hint="eastAsia" w:ascii="宋体" w:hAnsi="宋体" w:cs="宋体"/>
          <w:sz w:val="24"/>
          <w:szCs w:val="21"/>
          <w:lang w:val="en-US" w:eastAsia="zh-CN"/>
        </w:rPr>
        <w:t>20</w:t>
      </w:r>
      <w:r>
        <w:rPr>
          <w:rFonts w:hint="eastAsia" w:ascii="宋体" w:hAnsi="宋体" w:cs="宋体"/>
          <w:sz w:val="24"/>
          <w:szCs w:val="21"/>
        </w:rPr>
        <w:t>0:Q3/Q1</w:t>
      </w:r>
      <w:r>
        <w:rPr>
          <w:rFonts w:hint="eastAsia" w:ascii="宋体" w:hAnsi="宋体" w:cs="宋体"/>
          <w:sz w:val="24"/>
          <w:szCs w:val="21"/>
          <w:lang w:val="en-US" w:eastAsia="zh-CN"/>
        </w:rPr>
        <w:t>=200</w:t>
      </w:r>
    </w:p>
    <w:p w14:paraId="4F0881A7">
      <w:pPr>
        <w:pStyle w:val="61"/>
        <w:numPr>
          <w:ilvl w:val="1"/>
          <w:numId w:val="1"/>
        </w:numPr>
        <w:snapToGrid w:val="0"/>
        <w:spacing w:beforeLines="50" w:afterLines="50" w:line="460" w:lineRule="exact"/>
        <w:ind w:firstLineChars="0"/>
        <w:rPr>
          <w:rFonts w:ascii="宋体" w:hAnsi="宋体" w:cs="宋体"/>
          <w:sz w:val="24"/>
        </w:rPr>
      </w:pPr>
      <w:r>
        <w:rPr>
          <w:rFonts w:hint="eastAsia" w:ascii="宋体" w:hAnsi="宋体" w:cs="宋体"/>
          <w:sz w:val="24"/>
        </w:rPr>
        <w:t>防护等级:IP68</w:t>
      </w:r>
    </w:p>
    <w:p w14:paraId="36543339">
      <w:pPr>
        <w:pStyle w:val="61"/>
        <w:numPr>
          <w:ilvl w:val="1"/>
          <w:numId w:val="1"/>
        </w:numPr>
        <w:snapToGrid w:val="0"/>
        <w:spacing w:beforeLines="50" w:afterLines="50" w:line="460" w:lineRule="exact"/>
        <w:ind w:firstLineChars="0"/>
        <w:rPr>
          <w:rFonts w:ascii="宋体" w:hAnsi="宋体" w:cs="Arial"/>
          <w:sz w:val="24"/>
        </w:rPr>
      </w:pPr>
      <w:r>
        <w:rPr>
          <w:rFonts w:hint="eastAsia" w:ascii="宋体" w:hAnsi="宋体" w:cs="Arial"/>
          <w:sz w:val="24"/>
        </w:rPr>
        <w:t>电磁环境等级: E1</w:t>
      </w:r>
    </w:p>
    <w:p w14:paraId="2490FD3D">
      <w:pPr>
        <w:pStyle w:val="61"/>
        <w:numPr>
          <w:ilvl w:val="1"/>
          <w:numId w:val="1"/>
        </w:numPr>
        <w:snapToGrid w:val="0"/>
        <w:spacing w:beforeLines="50" w:afterLines="50" w:line="460" w:lineRule="exact"/>
        <w:ind w:firstLineChars="0"/>
        <w:rPr>
          <w:rFonts w:ascii="宋体" w:hAnsi="宋体" w:cs="Arial"/>
          <w:sz w:val="24"/>
        </w:rPr>
      </w:pPr>
      <w:r>
        <w:rPr>
          <w:rFonts w:hint="eastAsia" w:ascii="宋体" w:hAnsi="宋体" w:cs="Arial"/>
          <w:sz w:val="24"/>
        </w:rPr>
        <w:t>气候和机械环境条件的等级:</w:t>
      </w:r>
      <w:r>
        <w:rPr>
          <w:rFonts w:ascii="宋体" w:hAnsi="宋体" w:cs="Arial"/>
          <w:sz w:val="24"/>
        </w:rPr>
        <w:t>O</w:t>
      </w:r>
      <w:r>
        <w:rPr>
          <w:rFonts w:hint="eastAsia" w:ascii="宋体" w:hAnsi="宋体" w:cs="Arial"/>
          <w:sz w:val="24"/>
        </w:rPr>
        <w:t>级</w:t>
      </w:r>
    </w:p>
    <w:p w14:paraId="42CBFAC7">
      <w:pPr>
        <w:pStyle w:val="61"/>
        <w:numPr>
          <w:ilvl w:val="1"/>
          <w:numId w:val="1"/>
        </w:numPr>
        <w:snapToGrid w:val="0"/>
        <w:spacing w:beforeLines="50" w:afterLines="50" w:line="460" w:lineRule="exact"/>
        <w:ind w:firstLineChars="0"/>
        <w:rPr>
          <w:rFonts w:ascii="宋体" w:hAnsi="宋体" w:cs="宋体"/>
          <w:bCs/>
          <w:sz w:val="24"/>
        </w:rPr>
      </w:pPr>
      <w:r>
        <w:rPr>
          <w:rFonts w:hint="eastAsia" w:ascii="宋体" w:hAnsi="宋体" w:cs="宋体"/>
          <w:bCs/>
          <w:sz w:val="24"/>
        </w:rPr>
        <w:t>电池使用期:</w:t>
      </w:r>
      <w:r>
        <w:rPr>
          <w:rFonts w:hint="eastAsia" w:ascii="宋体" w:hAnsi="宋体" w:cs="仿宋"/>
          <w:sz w:val="24"/>
        </w:rPr>
        <w:t xml:space="preserve"> ≥</w:t>
      </w:r>
      <w:r>
        <w:rPr>
          <w:rFonts w:hint="eastAsia" w:ascii="宋体" w:hAnsi="宋体" w:cs="宋体"/>
          <w:bCs/>
          <w:sz w:val="24"/>
        </w:rPr>
        <w:t>7年</w:t>
      </w:r>
    </w:p>
    <w:p w14:paraId="276EE043">
      <w:pPr>
        <w:pStyle w:val="61"/>
        <w:numPr>
          <w:ilvl w:val="1"/>
          <w:numId w:val="1"/>
        </w:numPr>
        <w:snapToGrid w:val="0"/>
        <w:spacing w:beforeLines="50" w:afterLines="50" w:line="460" w:lineRule="exact"/>
        <w:ind w:firstLineChars="0"/>
        <w:rPr>
          <w:rFonts w:ascii="宋体" w:hAnsi="宋体" w:cs="宋体"/>
          <w:bCs/>
          <w:sz w:val="24"/>
        </w:rPr>
      </w:pPr>
      <w:r>
        <w:rPr>
          <w:rFonts w:hint="eastAsia" w:ascii="宋体" w:hAnsi="宋体" w:cs="宋体"/>
          <w:bCs/>
          <w:sz w:val="24"/>
        </w:rPr>
        <w:t>最大允许工作压力等级：MAP10。</w:t>
      </w:r>
    </w:p>
    <w:p w14:paraId="3F443F3D">
      <w:pPr>
        <w:pStyle w:val="61"/>
        <w:numPr>
          <w:ilvl w:val="1"/>
          <w:numId w:val="1"/>
        </w:numPr>
        <w:snapToGrid w:val="0"/>
        <w:spacing w:beforeLines="50" w:afterLines="50" w:line="460" w:lineRule="exact"/>
        <w:ind w:firstLineChars="0"/>
        <w:rPr>
          <w:rFonts w:ascii="宋体" w:hAnsi="宋体" w:cs="宋体"/>
          <w:bCs/>
          <w:sz w:val="24"/>
        </w:rPr>
      </w:pPr>
      <w:r>
        <w:rPr>
          <w:rFonts w:hint="eastAsia" w:ascii="宋体" w:hAnsi="宋体" w:cs="宋体"/>
          <w:bCs/>
          <w:sz w:val="24"/>
        </w:rPr>
        <w:t>压力损失等级：△ p63</w:t>
      </w:r>
    </w:p>
    <w:p w14:paraId="08369360">
      <w:pPr>
        <w:pStyle w:val="61"/>
        <w:numPr>
          <w:ilvl w:val="1"/>
          <w:numId w:val="1"/>
        </w:numPr>
        <w:snapToGrid w:val="0"/>
        <w:spacing w:beforeLines="50" w:afterLines="50" w:line="460" w:lineRule="exact"/>
        <w:ind w:firstLineChars="0"/>
        <w:rPr>
          <w:rFonts w:ascii="宋体" w:hAnsi="宋体" w:cs="宋体"/>
          <w:bCs/>
          <w:sz w:val="24"/>
        </w:rPr>
      </w:pPr>
      <w:r>
        <w:rPr>
          <w:rFonts w:hint="eastAsia" w:ascii="宋体" w:hAnsi="宋体" w:cs="宋体"/>
          <w:bCs/>
          <w:sz w:val="24"/>
        </w:rPr>
        <w:t>温度等级：T30</w:t>
      </w:r>
    </w:p>
    <w:p w14:paraId="1B12F7AA">
      <w:pPr>
        <w:pStyle w:val="61"/>
        <w:numPr>
          <w:ilvl w:val="1"/>
          <w:numId w:val="1"/>
        </w:numPr>
        <w:snapToGrid w:val="0"/>
        <w:spacing w:beforeLines="50" w:afterLines="50" w:line="460" w:lineRule="exact"/>
        <w:ind w:firstLineChars="0"/>
        <w:rPr>
          <w:rFonts w:ascii="宋体" w:hAnsi="宋体" w:cs="宋体"/>
          <w:bCs/>
          <w:sz w:val="24"/>
        </w:rPr>
      </w:pPr>
      <w:r>
        <w:rPr>
          <w:rFonts w:hint="eastAsia" w:ascii="宋体" w:hAnsi="宋体" w:cs="宋体"/>
          <w:bCs/>
          <w:sz w:val="24"/>
        </w:rPr>
        <w:t>温度范围：工作温度0℃～55℃。</w:t>
      </w:r>
    </w:p>
    <w:p w14:paraId="7428BCAC">
      <w:pPr>
        <w:pStyle w:val="61"/>
        <w:numPr>
          <w:ilvl w:val="1"/>
          <w:numId w:val="1"/>
        </w:numPr>
        <w:snapToGrid w:val="0"/>
        <w:spacing w:beforeLines="50" w:afterLines="50" w:line="460" w:lineRule="exact"/>
        <w:ind w:firstLineChars="0"/>
        <w:rPr>
          <w:rFonts w:ascii="宋体" w:hAnsi="宋体" w:cs="宋体"/>
          <w:bCs/>
          <w:sz w:val="24"/>
        </w:rPr>
      </w:pPr>
      <w:r>
        <w:rPr>
          <w:rFonts w:hint="eastAsia" w:ascii="宋体" w:hAnsi="宋体" w:cs="宋体"/>
          <w:bCs/>
          <w:sz w:val="24"/>
        </w:rPr>
        <w:t>计量特性：2级水表（准确度等级为2级）</w:t>
      </w:r>
    </w:p>
    <w:p w14:paraId="2D79198C">
      <w:pPr>
        <w:pStyle w:val="61"/>
        <w:numPr>
          <w:ilvl w:val="1"/>
          <w:numId w:val="1"/>
        </w:numPr>
        <w:snapToGrid w:val="0"/>
        <w:spacing w:beforeLines="50" w:afterLines="50" w:line="460" w:lineRule="exact"/>
        <w:ind w:firstLineChars="0"/>
        <w:rPr>
          <w:rFonts w:ascii="宋体" w:hAnsi="宋体" w:cs="宋体"/>
          <w:bCs/>
          <w:sz w:val="24"/>
        </w:rPr>
      </w:pPr>
      <w:r>
        <w:rPr>
          <w:rFonts w:hint="eastAsia" w:ascii="宋体" w:hAnsi="宋体" w:cs="宋体"/>
          <w:bCs/>
          <w:sz w:val="24"/>
        </w:rPr>
        <w:t>安装方式：水平安装</w:t>
      </w:r>
    </w:p>
    <w:p w14:paraId="53FAF1EF">
      <w:pPr>
        <w:snapToGrid w:val="0"/>
        <w:spacing w:before="100" w:beforeAutospacing="1" w:after="100" w:afterAutospacing="1"/>
        <w:rPr>
          <w:rFonts w:ascii="新宋体" w:hAnsi="新宋体" w:eastAsia="新宋体"/>
          <w:sz w:val="24"/>
        </w:rPr>
      </w:pPr>
      <w:r>
        <w:rPr>
          <w:rFonts w:hint="eastAsia" w:ascii="新宋体" w:hAnsi="新宋体" w:eastAsia="新宋体"/>
          <w:sz w:val="24"/>
        </w:rPr>
        <w:t>3、最大允许误差：</w:t>
      </w:r>
    </w:p>
    <w:p w14:paraId="3AD17BED">
      <w:pPr>
        <w:snapToGrid w:val="0"/>
        <w:spacing w:before="100" w:beforeAutospacing="1" w:after="100" w:afterAutospacing="1"/>
        <w:ind w:firstLine="360" w:firstLineChars="150"/>
        <w:rPr>
          <w:rFonts w:ascii="新宋体" w:hAnsi="新宋体" w:eastAsia="新宋体"/>
          <w:sz w:val="24"/>
        </w:rPr>
      </w:pPr>
      <w:r>
        <w:rPr>
          <w:rFonts w:hint="eastAsia" w:ascii="新宋体" w:hAnsi="新宋体" w:eastAsia="新宋体"/>
          <w:sz w:val="24"/>
        </w:rPr>
        <w:t>a、在从包括最小流量Q1在内到不包括分界流量Q2的低区中的最大允许误差为±5％；</w:t>
      </w:r>
    </w:p>
    <w:p w14:paraId="2053EB2F">
      <w:pPr>
        <w:snapToGrid w:val="0"/>
        <w:spacing w:before="100" w:beforeAutospacing="1" w:after="100" w:afterAutospacing="1"/>
        <w:ind w:firstLine="360" w:firstLineChars="150"/>
        <w:rPr>
          <w:rFonts w:ascii="新宋体" w:hAnsi="新宋体" w:eastAsia="新宋体"/>
          <w:sz w:val="24"/>
        </w:rPr>
      </w:pPr>
      <w:r>
        <w:rPr>
          <w:rFonts w:hint="eastAsia" w:ascii="新宋体" w:hAnsi="新宋体" w:eastAsia="新宋体"/>
          <w:sz w:val="24"/>
        </w:rPr>
        <w:t>b、在从包括分界流量Q2在内到包括过载流量Q4的高区中的最大允许误差为±2％。</w:t>
      </w:r>
    </w:p>
    <w:p w14:paraId="4D4F1458">
      <w:pPr>
        <w:snapToGrid w:val="0"/>
        <w:spacing w:before="100" w:beforeAutospacing="1" w:after="100" w:afterAutospacing="1"/>
        <w:rPr>
          <w:rFonts w:ascii="新宋体" w:hAnsi="新宋体" w:eastAsia="新宋体"/>
          <w:sz w:val="24"/>
        </w:rPr>
      </w:pPr>
      <w:r>
        <w:rPr>
          <w:rFonts w:hint="eastAsia" w:ascii="宋体" w:hAnsi="宋体" w:cs="Arial"/>
          <w:sz w:val="24"/>
        </w:rPr>
        <w:t>4、主要工艺要求：</w:t>
      </w:r>
    </w:p>
    <w:p w14:paraId="6AC14DC1">
      <w:pPr>
        <w:pStyle w:val="61"/>
        <w:numPr>
          <w:ilvl w:val="0"/>
          <w:numId w:val="2"/>
        </w:numPr>
        <w:snapToGrid w:val="0"/>
        <w:spacing w:before="100" w:beforeAutospacing="1" w:after="100" w:afterAutospacing="1" w:line="360" w:lineRule="auto"/>
        <w:ind w:left="777" w:firstLineChars="0"/>
        <w:rPr>
          <w:rFonts w:ascii="新宋体" w:hAnsi="新宋体" w:eastAsia="新宋体"/>
          <w:sz w:val="24"/>
        </w:rPr>
      </w:pPr>
      <w:r>
        <w:rPr>
          <w:rFonts w:hint="eastAsia" w:ascii="新宋体" w:hAnsi="新宋体" w:eastAsia="新宋体"/>
          <w:sz w:val="24"/>
        </w:rPr>
        <w:t>整体水表的制造材料的强度和耐用度应满足水表的特定使用要求，表壳材质采用</w:t>
      </w:r>
      <w:r>
        <w:rPr>
          <w:rFonts w:hint="eastAsia" w:ascii="新宋体" w:hAnsi="新宋体" w:eastAsia="新宋体"/>
          <w:sz w:val="24"/>
          <w:lang w:val="en-US" w:eastAsia="zh-CN"/>
        </w:rPr>
        <w:t>不锈钢、</w:t>
      </w:r>
      <w:r>
        <w:rPr>
          <w:rFonts w:hint="eastAsia" w:ascii="新宋体" w:hAnsi="新宋体" w:eastAsia="新宋体"/>
          <w:sz w:val="24"/>
        </w:rPr>
        <w:t>球墨铸铁或更优材质,符合CMA/WM778《小口径饮用水冷水表表壳技术规范》及CJ266-2008《饮用水冷水水表安全规则》标准规定。</w:t>
      </w:r>
    </w:p>
    <w:p w14:paraId="0BCE4AB6">
      <w:pPr>
        <w:pStyle w:val="61"/>
        <w:numPr>
          <w:ilvl w:val="0"/>
          <w:numId w:val="2"/>
        </w:numPr>
        <w:snapToGrid w:val="0"/>
        <w:spacing w:before="100" w:beforeAutospacing="1" w:after="100" w:afterAutospacing="1" w:line="360" w:lineRule="auto"/>
        <w:ind w:left="777" w:firstLineChars="0"/>
        <w:rPr>
          <w:rFonts w:ascii="新宋体" w:hAnsi="新宋体" w:eastAsia="新宋体"/>
          <w:sz w:val="24"/>
        </w:rPr>
      </w:pPr>
      <w:r>
        <w:rPr>
          <w:rFonts w:hint="eastAsia" w:ascii="新宋体" w:hAnsi="新宋体" w:eastAsia="新宋体"/>
          <w:sz w:val="24"/>
        </w:rPr>
        <w:t>整体水表内所有接触水的零部件应采用通常认为是无毒、无污染、无生物活性的材料制造(应符合国家规定)。</w:t>
      </w:r>
    </w:p>
    <w:p w14:paraId="04847501">
      <w:pPr>
        <w:pStyle w:val="61"/>
        <w:numPr>
          <w:ilvl w:val="0"/>
          <w:numId w:val="2"/>
        </w:numPr>
        <w:snapToGrid w:val="0"/>
        <w:spacing w:before="100" w:beforeAutospacing="1" w:after="100" w:afterAutospacing="1" w:line="360" w:lineRule="auto"/>
        <w:ind w:left="777" w:firstLineChars="0"/>
        <w:rPr>
          <w:rFonts w:ascii="新宋体" w:hAnsi="新宋体" w:eastAsia="新宋体"/>
          <w:sz w:val="24"/>
        </w:rPr>
      </w:pPr>
      <w:r>
        <w:rPr>
          <w:rFonts w:hint="eastAsia" w:ascii="新宋体" w:hAnsi="新宋体" w:eastAsia="新宋体"/>
          <w:sz w:val="24"/>
        </w:rPr>
        <w:t>整体水表的制造材料应能抵抗日照紫外线、风化、热老化情况，有适当的防护处理。</w:t>
      </w:r>
    </w:p>
    <w:p w14:paraId="197AE4ED">
      <w:pPr>
        <w:pStyle w:val="61"/>
        <w:numPr>
          <w:ilvl w:val="0"/>
          <w:numId w:val="2"/>
        </w:numPr>
        <w:snapToGrid w:val="0"/>
        <w:spacing w:before="100" w:beforeAutospacing="1" w:after="100" w:afterAutospacing="1" w:line="360" w:lineRule="auto"/>
        <w:ind w:left="777" w:firstLineChars="0"/>
        <w:rPr>
          <w:rFonts w:ascii="新宋体" w:hAnsi="新宋体" w:eastAsia="新宋体"/>
          <w:sz w:val="24"/>
        </w:rPr>
      </w:pPr>
      <w:r>
        <w:rPr>
          <w:rFonts w:hint="eastAsia" w:ascii="新宋体" w:hAnsi="新宋体" w:eastAsia="新宋体"/>
          <w:sz w:val="24"/>
        </w:rPr>
        <w:t>DN15-50水表表面应采用钢化玻璃，整片承压玻璃厚度至少应达到</w:t>
      </w:r>
      <w:r>
        <w:rPr>
          <w:rFonts w:ascii="新宋体" w:hAnsi="新宋体" w:eastAsia="新宋体"/>
          <w:sz w:val="24"/>
        </w:rPr>
        <w:t>6.0</w:t>
      </w:r>
      <w:r>
        <w:rPr>
          <w:rFonts w:hint="eastAsia" w:ascii="新宋体" w:hAnsi="新宋体" w:eastAsia="新宋体"/>
          <w:sz w:val="24"/>
        </w:rPr>
        <w:t>mm。</w:t>
      </w:r>
    </w:p>
    <w:p w14:paraId="292EB1BA">
      <w:pPr>
        <w:pStyle w:val="61"/>
        <w:numPr>
          <w:ilvl w:val="0"/>
          <w:numId w:val="2"/>
        </w:numPr>
        <w:snapToGrid w:val="0"/>
        <w:spacing w:before="100" w:beforeAutospacing="1" w:after="100" w:afterAutospacing="1" w:line="360" w:lineRule="auto"/>
        <w:ind w:left="777" w:firstLineChars="0"/>
        <w:rPr>
          <w:rFonts w:ascii="新宋体" w:hAnsi="新宋体" w:eastAsia="新宋体"/>
          <w:sz w:val="24"/>
        </w:rPr>
      </w:pPr>
      <w:r>
        <w:rPr>
          <w:rFonts w:hint="eastAsia" w:ascii="新宋体" w:hAnsi="新宋体" w:eastAsia="新宋体"/>
          <w:sz w:val="24"/>
        </w:rPr>
        <w:t>DN80-200水表计数器采用防水雾的铜封真空方式。</w:t>
      </w:r>
    </w:p>
    <w:p w14:paraId="4ECD046F">
      <w:pPr>
        <w:pStyle w:val="61"/>
        <w:numPr>
          <w:ilvl w:val="0"/>
          <w:numId w:val="2"/>
        </w:numPr>
        <w:snapToGrid w:val="0"/>
        <w:spacing w:before="100" w:beforeAutospacing="1" w:after="100" w:afterAutospacing="1" w:line="360" w:lineRule="auto"/>
        <w:ind w:left="777" w:firstLineChars="0"/>
        <w:rPr>
          <w:rFonts w:ascii="新宋体" w:hAnsi="新宋体" w:eastAsia="新宋体"/>
          <w:sz w:val="24"/>
        </w:rPr>
      </w:pPr>
      <w:r>
        <w:rPr>
          <w:rFonts w:hint="eastAsia" w:ascii="新宋体" w:hAnsi="新宋体" w:eastAsia="新宋体"/>
          <w:sz w:val="24"/>
        </w:rPr>
        <w:t>DN15-50水表的指示装置应采用透明窗保护，还可配备一个合适的表盖作为辅助保护，水表表盖可360度旋转及垂直翻开。</w:t>
      </w:r>
    </w:p>
    <w:p w14:paraId="06DFB9C6">
      <w:pPr>
        <w:pStyle w:val="61"/>
        <w:numPr>
          <w:ilvl w:val="0"/>
          <w:numId w:val="2"/>
        </w:numPr>
        <w:snapToGrid w:val="0"/>
        <w:spacing w:before="100" w:beforeAutospacing="1" w:after="100" w:afterAutospacing="1" w:line="360" w:lineRule="auto"/>
        <w:ind w:left="777" w:firstLineChars="0"/>
        <w:rPr>
          <w:rFonts w:ascii="新宋体" w:hAnsi="新宋体" w:eastAsia="新宋体"/>
          <w:sz w:val="24"/>
        </w:rPr>
      </w:pPr>
      <w:r>
        <w:rPr>
          <w:rFonts w:hint="eastAsia" w:ascii="新宋体" w:hAnsi="新宋体" w:eastAsia="新宋体"/>
          <w:sz w:val="24"/>
        </w:rPr>
        <w:t>DN15-50基础水表为旋翼式液封水表，若水表指示装置透明窗内侧有可能形成冷凝，水表应安装消除冷凝的装置。</w:t>
      </w:r>
    </w:p>
    <w:p w14:paraId="32DC7960">
      <w:pPr>
        <w:pStyle w:val="61"/>
        <w:numPr>
          <w:ilvl w:val="0"/>
          <w:numId w:val="2"/>
        </w:numPr>
        <w:snapToGrid w:val="0"/>
        <w:spacing w:before="100" w:beforeAutospacing="1" w:after="100" w:afterAutospacing="1" w:line="360" w:lineRule="auto"/>
        <w:ind w:left="777" w:firstLineChars="0"/>
        <w:rPr>
          <w:rFonts w:ascii="新宋体" w:hAnsi="新宋体" w:eastAsia="新宋体"/>
          <w:sz w:val="24"/>
        </w:rPr>
      </w:pPr>
      <w:r>
        <w:rPr>
          <w:rFonts w:hint="eastAsia" w:ascii="新宋体" w:hAnsi="新宋体" w:eastAsia="新宋体"/>
          <w:sz w:val="24"/>
        </w:rPr>
        <w:t>基础水表内置的传感器在长时间使用情况下不得影响计量精度。</w:t>
      </w:r>
    </w:p>
    <w:p w14:paraId="7A7071E6">
      <w:pPr>
        <w:pStyle w:val="61"/>
        <w:numPr>
          <w:ilvl w:val="0"/>
          <w:numId w:val="2"/>
        </w:numPr>
        <w:snapToGrid w:val="0"/>
        <w:spacing w:before="100" w:beforeAutospacing="1" w:after="100" w:afterAutospacing="1" w:line="360" w:lineRule="auto"/>
        <w:ind w:left="777" w:firstLineChars="0"/>
        <w:rPr>
          <w:rFonts w:ascii="新宋体" w:hAnsi="新宋体" w:eastAsia="新宋体"/>
          <w:sz w:val="24"/>
        </w:rPr>
      </w:pPr>
      <w:r>
        <w:rPr>
          <w:rFonts w:hint="eastAsia" w:ascii="新宋体" w:hAnsi="新宋体" w:eastAsia="新宋体"/>
          <w:sz w:val="24"/>
        </w:rPr>
        <w:t>整体水表</w:t>
      </w:r>
      <w:r>
        <w:rPr>
          <w:rFonts w:hint="eastAsia" w:ascii="新宋体" w:hAnsi="新宋体" w:eastAsia="新宋体"/>
          <w:sz w:val="24"/>
          <w:lang w:val="en-US" w:eastAsia="zh-CN"/>
        </w:rPr>
        <w:t>铜或不锈钢</w:t>
      </w:r>
      <w:r>
        <w:rPr>
          <w:rFonts w:hint="eastAsia" w:ascii="新宋体" w:hAnsi="新宋体" w:eastAsia="新宋体"/>
          <w:sz w:val="24"/>
        </w:rPr>
        <w:t>管接头</w:t>
      </w:r>
      <w:r>
        <w:rPr>
          <w:rFonts w:hint="eastAsia" w:ascii="新宋体" w:hAnsi="新宋体" w:eastAsia="新宋体"/>
          <w:sz w:val="24"/>
          <w:lang w:eastAsia="zh-CN"/>
        </w:rPr>
        <w:t>，</w:t>
      </w:r>
      <w:r>
        <w:rPr>
          <w:rFonts w:hint="eastAsia" w:ascii="新宋体" w:hAnsi="新宋体" w:eastAsia="新宋体"/>
          <w:sz w:val="24"/>
          <w:lang w:val="en-US" w:eastAsia="zh-CN"/>
        </w:rPr>
        <w:t>铜或不锈钢</w:t>
      </w:r>
      <w:r>
        <w:rPr>
          <w:rFonts w:hint="eastAsia" w:ascii="新宋体" w:hAnsi="新宋体" w:eastAsia="新宋体"/>
          <w:sz w:val="24"/>
        </w:rPr>
        <w:t>连接螺母</w:t>
      </w:r>
      <w:r>
        <w:rPr>
          <w:rFonts w:hint="eastAsia" w:ascii="新宋体" w:hAnsi="新宋体" w:eastAsia="新宋体"/>
          <w:sz w:val="24"/>
          <w:lang w:eastAsia="zh-CN"/>
        </w:rPr>
        <w:t>，</w:t>
      </w:r>
      <w:r>
        <w:rPr>
          <w:rFonts w:hint="eastAsia" w:ascii="新宋体" w:hAnsi="新宋体" w:eastAsia="新宋体"/>
          <w:sz w:val="24"/>
          <w:lang w:val="en-US" w:eastAsia="zh-CN"/>
        </w:rPr>
        <w:t>铜或不锈钢</w:t>
      </w:r>
      <w:r>
        <w:rPr>
          <w:rFonts w:hint="eastAsia" w:ascii="新宋体" w:hAnsi="新宋体" w:eastAsia="新宋体"/>
          <w:sz w:val="24"/>
        </w:rPr>
        <w:t>罩子</w:t>
      </w:r>
      <w:r>
        <w:rPr>
          <w:rFonts w:hint="eastAsia" w:ascii="新宋体" w:hAnsi="新宋体" w:eastAsia="新宋体"/>
          <w:sz w:val="24"/>
          <w:lang w:eastAsia="zh-CN"/>
        </w:rPr>
        <w:t>，</w:t>
      </w:r>
      <w:r>
        <w:rPr>
          <w:rFonts w:hint="eastAsia" w:ascii="新宋体" w:hAnsi="新宋体" w:eastAsia="新宋体"/>
          <w:sz w:val="24"/>
        </w:rPr>
        <w:t>表玻璃等承压件的材料要求应符合CJ266-2008《饮用水冷水水表安全规则》标准规定。</w:t>
      </w:r>
    </w:p>
    <w:p w14:paraId="76E16D1D">
      <w:pPr>
        <w:pStyle w:val="61"/>
        <w:numPr>
          <w:ilvl w:val="0"/>
          <w:numId w:val="2"/>
        </w:numPr>
        <w:snapToGrid w:val="0"/>
        <w:spacing w:before="100" w:beforeAutospacing="1" w:after="100" w:afterAutospacing="1" w:line="360" w:lineRule="auto"/>
        <w:ind w:left="777" w:firstLineChars="0"/>
        <w:rPr>
          <w:rFonts w:ascii="新宋体" w:hAnsi="新宋体" w:eastAsia="新宋体"/>
          <w:sz w:val="24"/>
        </w:rPr>
      </w:pPr>
      <w:r>
        <w:rPr>
          <w:rFonts w:hint="eastAsia" w:ascii="新宋体" w:hAnsi="新宋体" w:eastAsia="新宋体"/>
          <w:sz w:val="24"/>
        </w:rPr>
        <w:t>整体水表整体防水应达IP68，满足长期浸水的要求。</w:t>
      </w:r>
    </w:p>
    <w:p w14:paraId="032D2A9C">
      <w:pPr>
        <w:pStyle w:val="61"/>
        <w:numPr>
          <w:ilvl w:val="0"/>
          <w:numId w:val="2"/>
        </w:numPr>
        <w:snapToGrid w:val="0"/>
        <w:spacing w:before="100" w:beforeAutospacing="1" w:after="100" w:afterAutospacing="1" w:line="360" w:lineRule="auto"/>
        <w:ind w:left="777" w:firstLineChars="0"/>
        <w:rPr>
          <w:rFonts w:ascii="新宋体" w:hAnsi="新宋体" w:eastAsia="新宋体"/>
          <w:sz w:val="24"/>
        </w:rPr>
      </w:pPr>
      <w:r>
        <w:rPr>
          <w:rFonts w:hint="eastAsia" w:ascii="新宋体" w:hAnsi="新宋体" w:eastAsia="新宋体"/>
          <w:sz w:val="24"/>
        </w:rPr>
        <w:t>整体水表的指示装置及说明性标志应符合GB／T 778.1—2018中有关指示装置类型的要求。</w:t>
      </w:r>
    </w:p>
    <w:p w14:paraId="40133A3D">
      <w:pPr>
        <w:pStyle w:val="61"/>
        <w:keepNext w:val="0"/>
        <w:keepLines w:val="0"/>
        <w:pageBreakBefore w:val="0"/>
        <w:widowControl w:val="0"/>
        <w:numPr>
          <w:ilvl w:val="0"/>
          <w:numId w:val="2"/>
        </w:numPr>
        <w:kinsoku/>
        <w:wordWrap/>
        <w:overflowPunct/>
        <w:topLinePunct w:val="0"/>
        <w:autoSpaceDE/>
        <w:autoSpaceDN/>
        <w:bidi w:val="0"/>
        <w:adjustRightInd/>
        <w:snapToGrid w:val="0"/>
        <w:spacing w:before="100" w:beforeAutospacing="1" w:after="100" w:afterAutospacing="1" w:line="360" w:lineRule="auto"/>
        <w:ind w:left="777" w:firstLineChars="0"/>
        <w:textAlignment w:val="auto"/>
        <w:rPr>
          <w:rFonts w:hint="eastAsia" w:ascii="宋体" w:hAnsi="宋体" w:eastAsia="宋体" w:cs="宋体"/>
          <w:sz w:val="24"/>
        </w:rPr>
      </w:pPr>
      <w:r>
        <w:rPr>
          <w:rFonts w:hint="eastAsia" w:ascii="宋体" w:hAnsi="宋体" w:cs="宋体"/>
          <w:sz w:val="24"/>
          <w:lang w:val="en-US" w:eastAsia="zh-CN"/>
        </w:rPr>
        <w:t>DN15-50</w:t>
      </w:r>
      <w:r>
        <w:rPr>
          <w:rFonts w:hint="eastAsia" w:ascii="宋体" w:hAnsi="宋体" w:eastAsia="宋体" w:cs="宋体"/>
          <w:sz w:val="24"/>
        </w:rPr>
        <w:t>读数部分用液封的字轮显示计数值，指示装置为大字轮并有硅胶密封圈，字轮显示</w:t>
      </w:r>
      <w:r>
        <w:rPr>
          <w:rFonts w:hint="eastAsia" w:ascii="宋体" w:hAnsi="宋体" w:cs="宋体"/>
          <w:sz w:val="24"/>
          <w:lang w:val="en-US" w:eastAsia="zh-CN"/>
        </w:rPr>
        <w:t>为5位黑色数字最小读数为1m</w:t>
      </w:r>
      <w:r>
        <w:rPr>
          <w:rFonts w:hint="eastAsia" w:ascii="宋体" w:hAnsi="宋体" w:cs="宋体"/>
          <w:sz w:val="24"/>
          <w:vertAlign w:val="superscript"/>
          <w:lang w:val="en-US" w:eastAsia="zh-CN"/>
        </w:rPr>
        <w:t>3</w:t>
      </w:r>
      <w:r>
        <w:rPr>
          <w:rFonts w:hint="eastAsia" w:ascii="宋体" w:hAnsi="宋体" w:cs="宋体"/>
          <w:sz w:val="24"/>
          <w:vertAlign w:val="baseline"/>
          <w:lang w:val="en-US" w:eastAsia="zh-CN"/>
        </w:rPr>
        <w:t>，</w:t>
      </w:r>
      <w:r>
        <w:rPr>
          <w:rFonts w:hint="eastAsia" w:ascii="宋体" w:hAnsi="宋体" w:eastAsia="宋体" w:cs="宋体"/>
          <w:sz w:val="24"/>
        </w:rPr>
        <w:t>保持读数清晰，表内部白底黑字，指针部分有框，校表用指针为红色大指针，指针长度达到边框，</w:t>
      </w:r>
      <w:r>
        <w:rPr>
          <w:rFonts w:hint="eastAsia" w:ascii="宋体" w:hAnsi="宋体" w:eastAsia="宋体" w:cs="宋体"/>
          <w:sz w:val="24"/>
          <w:lang w:val="en-US" w:eastAsia="zh-CN"/>
        </w:rPr>
        <w:t>远传装置不能遮挡红色指针，</w:t>
      </w:r>
      <w:r>
        <w:rPr>
          <w:rFonts w:hint="eastAsia" w:ascii="宋体" w:hAnsi="宋体" w:eastAsia="宋体" w:cs="宋体"/>
          <w:sz w:val="24"/>
        </w:rPr>
        <w:t>水表的指示表盘必须能被摄像式全自动水表检定装置读取，</w:t>
      </w:r>
      <w:r>
        <w:rPr>
          <w:rFonts w:hint="eastAsia" w:ascii="宋体" w:hAnsi="宋体" w:cs="宋体"/>
          <w:sz w:val="24"/>
          <w:lang w:val="en-US" w:eastAsia="zh-CN"/>
        </w:rPr>
        <w:t>四个红指针按顺序排列，无磁采集传感器指针位置应位于红指针首位不得有插序，</w:t>
      </w:r>
      <w:r>
        <w:rPr>
          <w:rFonts w:hint="eastAsia" w:ascii="宋体" w:hAnsi="宋体" w:eastAsia="宋体" w:cs="宋体"/>
          <w:sz w:val="24"/>
        </w:rPr>
        <w:t>表盘表面气泡小于3mm,</w:t>
      </w:r>
      <w:r>
        <w:rPr>
          <w:rFonts w:hint="eastAsia" w:ascii="宋体" w:hAnsi="宋体" w:eastAsia="宋体" w:cs="宋体"/>
          <w:sz w:val="24"/>
          <w:lang w:val="en-US" w:eastAsia="zh-CN"/>
        </w:rPr>
        <w:t>水表</w:t>
      </w:r>
      <w:r>
        <w:rPr>
          <w:rFonts w:hint="eastAsia" w:ascii="宋体" w:hAnsi="宋体" w:cs="宋体"/>
          <w:sz w:val="24"/>
          <w:lang w:val="en-US" w:eastAsia="zh-CN"/>
        </w:rPr>
        <w:t>罩上的</w:t>
      </w:r>
      <w:r>
        <w:rPr>
          <w:rFonts w:hint="eastAsia" w:ascii="宋体" w:hAnsi="宋体" w:eastAsia="宋体" w:cs="宋体"/>
          <w:sz w:val="24"/>
        </w:rPr>
        <w:t>器号打印数字清晰</w:t>
      </w:r>
      <w:r>
        <w:rPr>
          <w:rFonts w:hint="eastAsia" w:ascii="宋体" w:hAnsi="宋体" w:cs="宋体"/>
          <w:sz w:val="24"/>
          <w:lang w:eastAsia="zh-CN"/>
        </w:rPr>
        <w:t>（</w:t>
      </w:r>
      <w:r>
        <w:rPr>
          <w:rFonts w:hint="eastAsia" w:ascii="宋体" w:hAnsi="宋体" w:cs="宋体"/>
          <w:sz w:val="24"/>
          <w:lang w:val="en-US" w:eastAsia="zh-CN"/>
        </w:rPr>
        <w:t>根据我司提供编号打印</w:t>
      </w:r>
      <w:r>
        <w:rPr>
          <w:rFonts w:hint="eastAsia" w:ascii="宋体" w:hAnsi="宋体" w:cs="宋体"/>
          <w:sz w:val="24"/>
          <w:lang w:eastAsia="zh-CN"/>
        </w:rPr>
        <w:t>）</w:t>
      </w:r>
      <w:r>
        <w:rPr>
          <w:rFonts w:hint="eastAsia" w:ascii="宋体" w:hAnsi="宋体" w:eastAsia="宋体" w:cs="宋体"/>
          <w:sz w:val="24"/>
        </w:rPr>
        <w:t>，并在表盖上粘贴对应的条形码，</w:t>
      </w:r>
      <w:r>
        <w:rPr>
          <w:rFonts w:hint="eastAsia" w:ascii="宋体" w:hAnsi="宋体" w:cs="宋体"/>
          <w:sz w:val="24"/>
          <w:lang w:val="en-US" w:eastAsia="zh-CN"/>
        </w:rPr>
        <w:t>外包装箱要有贴相对应水表器号（1-10顺序编号装箱）</w:t>
      </w:r>
      <w:r>
        <w:rPr>
          <w:rFonts w:hint="eastAsia" w:ascii="宋体" w:hAnsi="宋体" w:eastAsia="宋体" w:cs="宋体"/>
          <w:sz w:val="24"/>
        </w:rPr>
        <w:t>，表盘</w:t>
      </w:r>
      <w:r>
        <w:rPr>
          <w:rFonts w:hint="eastAsia" w:ascii="宋体" w:hAnsi="宋体" w:cs="宋体"/>
          <w:sz w:val="24"/>
          <w:lang w:val="en-US" w:eastAsia="zh-CN"/>
        </w:rPr>
        <w:t>中间位置</w:t>
      </w:r>
      <w:r>
        <w:rPr>
          <w:rFonts w:hint="eastAsia" w:ascii="宋体" w:hAnsi="宋体" w:eastAsia="宋体" w:cs="宋体"/>
          <w:sz w:val="24"/>
        </w:rPr>
        <w:t>上印有“南平水务”字样</w:t>
      </w:r>
      <w:r>
        <w:rPr>
          <w:rFonts w:hint="eastAsia" w:ascii="宋体" w:hAnsi="宋体" w:cs="宋体"/>
          <w:sz w:val="24"/>
          <w:lang w:val="en-US" w:eastAsia="zh-CN"/>
        </w:rPr>
        <w:t>，表盘字</w:t>
      </w:r>
      <w:r>
        <w:rPr>
          <w:rFonts w:hint="eastAsia" w:ascii="宋体" w:hAnsi="宋体" w:eastAsia="宋体" w:cs="宋体"/>
          <w:sz w:val="24"/>
        </w:rPr>
        <w:t>轮显示计数</w:t>
      </w:r>
      <w:r>
        <w:rPr>
          <w:rFonts w:hint="eastAsia" w:ascii="宋体" w:hAnsi="宋体" w:cs="宋体"/>
          <w:sz w:val="24"/>
          <w:lang w:val="en-US" w:eastAsia="zh-CN"/>
        </w:rPr>
        <w:t>上方印刷水表的器号与条形码，编号应与罩上的器号相同</w:t>
      </w:r>
      <w:r>
        <w:rPr>
          <w:rFonts w:hint="eastAsia" w:ascii="宋体" w:hAnsi="宋体" w:eastAsia="宋体" w:cs="宋体"/>
          <w:sz w:val="24"/>
        </w:rPr>
        <w:t>。</w:t>
      </w:r>
    </w:p>
    <w:p w14:paraId="3BF2A9EC">
      <w:pPr>
        <w:pStyle w:val="61"/>
        <w:keepNext w:val="0"/>
        <w:keepLines w:val="0"/>
        <w:pageBreakBefore w:val="0"/>
        <w:widowControl w:val="0"/>
        <w:numPr>
          <w:ilvl w:val="0"/>
          <w:numId w:val="2"/>
        </w:numPr>
        <w:kinsoku/>
        <w:wordWrap/>
        <w:overflowPunct/>
        <w:topLinePunct w:val="0"/>
        <w:autoSpaceDE/>
        <w:autoSpaceDN/>
        <w:bidi w:val="0"/>
        <w:adjustRightInd/>
        <w:snapToGrid w:val="0"/>
        <w:spacing w:before="100" w:beforeAutospacing="1" w:after="100" w:afterAutospacing="1" w:line="360" w:lineRule="auto"/>
        <w:ind w:left="777" w:firstLineChars="0"/>
        <w:textAlignment w:val="auto"/>
        <w:rPr>
          <w:rFonts w:hint="eastAsia" w:ascii="宋体" w:hAnsi="宋体" w:eastAsia="宋体" w:cs="宋体"/>
          <w:sz w:val="24"/>
        </w:rPr>
      </w:pPr>
      <w:r>
        <w:rPr>
          <w:rFonts w:hint="eastAsia" w:ascii="宋体" w:hAnsi="宋体" w:cs="宋体"/>
          <w:sz w:val="24"/>
          <w:lang w:val="en-US" w:eastAsia="zh-CN"/>
        </w:rPr>
        <w:t>每一台DN80、DN100、DN150、DN200口径的</w:t>
      </w:r>
      <w:r>
        <w:rPr>
          <w:rFonts w:hint="eastAsia" w:ascii="宋体" w:hAnsi="宋体"/>
          <w:sz w:val="22"/>
        </w:rPr>
        <w:t>垂直螺翼式冷水</w:t>
      </w:r>
      <w:r>
        <w:rPr>
          <w:rFonts w:hint="eastAsia" w:ascii="宋体" w:hAnsi="宋体"/>
          <w:sz w:val="22"/>
          <w:lang w:val="en-US" w:eastAsia="zh-CN"/>
        </w:rPr>
        <w:t>水</w:t>
      </w:r>
      <w:r>
        <w:rPr>
          <w:rFonts w:hint="eastAsia" w:ascii="宋体" w:hAnsi="宋体" w:cs="宋体"/>
          <w:sz w:val="24"/>
          <w:lang w:val="en-US" w:eastAsia="zh-CN"/>
        </w:rPr>
        <w:t>表均需提供出厂检验报告。</w:t>
      </w:r>
    </w:p>
    <w:p w14:paraId="50385B2D">
      <w:pPr>
        <w:snapToGrid w:val="0"/>
        <w:spacing w:before="100" w:beforeAutospacing="1" w:after="100" w:afterAutospacing="1"/>
        <w:rPr>
          <w:b/>
          <w:kern w:val="0"/>
          <w:sz w:val="24"/>
        </w:rPr>
      </w:pPr>
      <w:r>
        <w:rPr>
          <w:rFonts w:hint="eastAsia"/>
          <w:b/>
          <w:kern w:val="0"/>
          <w:sz w:val="24"/>
        </w:rPr>
        <w:t>三、NB-IOT远传模块要求：</w:t>
      </w:r>
    </w:p>
    <w:p w14:paraId="2371B343">
      <w:pPr>
        <w:numPr>
          <w:ilvl w:val="0"/>
          <w:numId w:val="3"/>
        </w:numPr>
        <w:snapToGrid w:val="0"/>
        <w:spacing w:before="100" w:beforeAutospacing="1" w:after="100" w:afterAutospacing="1" w:line="360" w:lineRule="auto"/>
      </w:pPr>
      <w:r>
        <w:rPr>
          <w:rFonts w:hint="eastAsia" w:ascii="新宋体" w:hAnsi="新宋体" w:eastAsia="新宋体"/>
          <w:sz w:val="24"/>
        </w:rPr>
        <w:t>无磁远传水表</w:t>
      </w:r>
      <w:r>
        <w:rPr>
          <w:rFonts w:hint="eastAsia" w:ascii="宋体" w:hAnsi="宋体" w:cs="宋体"/>
          <w:bCs/>
          <w:sz w:val="24"/>
        </w:rPr>
        <w:t>须使用NB-IoT网络上传至抄表平台，供应商应与</w:t>
      </w:r>
      <w:r>
        <w:rPr>
          <w:rFonts w:hint="eastAsia" w:ascii="宋体" w:hAnsi="宋体" w:cs="宋体"/>
          <w:bCs/>
          <w:color w:val="000000"/>
          <w:sz w:val="24"/>
          <w:szCs w:val="24"/>
          <w:lang w:val="en-US" w:eastAsia="zh-CN"/>
        </w:rPr>
        <w:t>南平市延平区</w:t>
      </w:r>
      <w:r>
        <w:rPr>
          <w:rFonts w:hint="eastAsia" w:ascii="宋体" w:hAnsi="宋体" w:cs="宋体"/>
          <w:bCs/>
          <w:sz w:val="24"/>
        </w:rPr>
        <w:t>通讯运营商签订技术服务合作协议，</w:t>
      </w:r>
      <w:r>
        <w:rPr>
          <w:rFonts w:hint="eastAsia" w:ascii="宋体" w:hAnsi="宋体" w:cs="宋体"/>
          <w:sz w:val="24"/>
        </w:rPr>
        <w:t>支持主流运营商（移动、联通、电信等）的网络通信并</w:t>
      </w:r>
      <w:r>
        <w:rPr>
          <w:rFonts w:hint="eastAsia" w:ascii="宋体" w:hAnsi="宋体" w:cs="宋体"/>
          <w:bCs/>
          <w:sz w:val="24"/>
        </w:rPr>
        <w:t>采用本地通信运营商的 NB-IoT 网络实现数据传输，并提供属地化日常通信运维服务。</w:t>
      </w:r>
    </w:p>
    <w:p w14:paraId="56DC8895">
      <w:pPr>
        <w:numPr>
          <w:ilvl w:val="0"/>
          <w:numId w:val="3"/>
        </w:numPr>
        <w:snapToGrid w:val="0"/>
        <w:spacing w:before="100" w:beforeAutospacing="1" w:after="100" w:afterAutospacing="1" w:line="360" w:lineRule="auto"/>
        <w:rPr>
          <w:rFonts w:ascii="宋体" w:hAnsi="宋体" w:cs="宋体"/>
          <w:b/>
          <w:bCs/>
          <w:sz w:val="24"/>
        </w:rPr>
      </w:pPr>
      <w:r>
        <w:rPr>
          <w:rFonts w:hint="eastAsia" w:ascii="新宋体" w:hAnsi="新宋体" w:eastAsia="新宋体"/>
          <w:sz w:val="24"/>
        </w:rPr>
        <w:t>DN15-50无磁远传水表的</w:t>
      </w:r>
      <w:r>
        <w:rPr>
          <w:rFonts w:hint="eastAsia" w:ascii="宋体" w:hAnsi="宋体" w:cs="宋体"/>
          <w:bCs/>
          <w:sz w:val="24"/>
        </w:rPr>
        <w:t>无磁感应传感须采用线圈式传感技术，采集位置与0</w:t>
      </w:r>
      <w:r>
        <w:rPr>
          <w:rFonts w:ascii="宋体" w:hAnsi="宋体" w:cs="宋体"/>
          <w:bCs/>
          <w:sz w:val="24"/>
        </w:rPr>
        <w:t>.0001</w:t>
      </w:r>
      <w:r>
        <w:rPr>
          <w:rFonts w:hint="eastAsia" w:ascii="宋体" w:hAnsi="宋体" w:cs="宋体"/>
          <w:bCs/>
          <w:sz w:val="24"/>
        </w:rPr>
        <w:t>指针同步，采集精度为1</w:t>
      </w:r>
      <w:r>
        <w:rPr>
          <w:rFonts w:ascii="宋体" w:hAnsi="宋体" w:cs="宋体"/>
          <w:bCs/>
          <w:sz w:val="24"/>
        </w:rPr>
        <w:t>L</w:t>
      </w:r>
      <w:r>
        <w:rPr>
          <w:rFonts w:hint="eastAsia" w:ascii="宋体" w:hAnsi="宋体" w:cs="宋体"/>
          <w:bCs/>
          <w:sz w:val="24"/>
        </w:rPr>
        <w:t>用水量。</w:t>
      </w:r>
      <w:r>
        <w:rPr>
          <w:rFonts w:hint="eastAsia" w:ascii="宋体" w:hAnsi="宋体" w:cs="宋体"/>
          <w:bCs/>
          <w:sz w:val="24"/>
          <w:lang w:val="en-US" w:eastAsia="zh-CN"/>
        </w:rPr>
        <w:t>DN80-100</w:t>
      </w:r>
      <w:r>
        <w:rPr>
          <w:rFonts w:hint="eastAsia" w:ascii="新宋体" w:hAnsi="新宋体" w:eastAsia="新宋体"/>
          <w:sz w:val="24"/>
        </w:rPr>
        <w:t>无磁远传水表的</w:t>
      </w:r>
      <w:r>
        <w:rPr>
          <w:rFonts w:hint="eastAsia" w:ascii="宋体" w:hAnsi="宋体" w:cs="宋体"/>
          <w:bCs/>
          <w:sz w:val="24"/>
        </w:rPr>
        <w:t>无磁感应传感须采用线圈式传感技术，采集位置与0</w:t>
      </w:r>
      <w:r>
        <w:rPr>
          <w:rFonts w:ascii="宋体" w:hAnsi="宋体" w:cs="宋体"/>
          <w:bCs/>
          <w:sz w:val="24"/>
        </w:rPr>
        <w:t>.001</w:t>
      </w:r>
      <w:r>
        <w:rPr>
          <w:rFonts w:hint="eastAsia" w:ascii="宋体" w:hAnsi="宋体" w:cs="宋体"/>
          <w:bCs/>
          <w:sz w:val="24"/>
        </w:rPr>
        <w:t>指针同步，采集精度为1</w:t>
      </w:r>
      <w:r>
        <w:rPr>
          <w:rFonts w:hint="eastAsia" w:ascii="宋体" w:hAnsi="宋体" w:cs="宋体"/>
          <w:bCs/>
          <w:sz w:val="24"/>
          <w:lang w:val="en-US" w:eastAsia="zh-CN"/>
        </w:rPr>
        <w:t>0</w:t>
      </w:r>
      <w:r>
        <w:rPr>
          <w:rFonts w:ascii="宋体" w:hAnsi="宋体" w:cs="宋体"/>
          <w:bCs/>
          <w:sz w:val="24"/>
        </w:rPr>
        <w:t>L</w:t>
      </w:r>
      <w:r>
        <w:rPr>
          <w:rFonts w:hint="eastAsia" w:ascii="宋体" w:hAnsi="宋体" w:cs="宋体"/>
          <w:bCs/>
          <w:sz w:val="24"/>
        </w:rPr>
        <w:t>用水量。</w:t>
      </w:r>
      <w:r>
        <w:rPr>
          <w:rFonts w:hint="eastAsia" w:ascii="宋体" w:hAnsi="宋体" w:cs="宋体"/>
          <w:bCs/>
          <w:sz w:val="24"/>
          <w:lang w:val="en-US" w:eastAsia="zh-CN"/>
        </w:rPr>
        <w:t>DN150-200</w:t>
      </w:r>
      <w:r>
        <w:rPr>
          <w:rFonts w:hint="eastAsia" w:ascii="新宋体" w:hAnsi="新宋体" w:eastAsia="新宋体"/>
          <w:sz w:val="24"/>
        </w:rPr>
        <w:t>无磁远传水表的</w:t>
      </w:r>
      <w:r>
        <w:rPr>
          <w:rFonts w:hint="eastAsia" w:ascii="宋体" w:hAnsi="宋体" w:cs="宋体"/>
          <w:bCs/>
          <w:sz w:val="24"/>
        </w:rPr>
        <w:t>无磁感应传感须采用线圈式传感技术，采集位置与0</w:t>
      </w:r>
      <w:r>
        <w:rPr>
          <w:rFonts w:ascii="宋体" w:hAnsi="宋体" w:cs="宋体"/>
          <w:bCs/>
          <w:sz w:val="24"/>
        </w:rPr>
        <w:t>.01</w:t>
      </w:r>
      <w:r>
        <w:rPr>
          <w:rFonts w:hint="eastAsia" w:ascii="宋体" w:hAnsi="宋体" w:cs="宋体"/>
          <w:bCs/>
          <w:sz w:val="24"/>
        </w:rPr>
        <w:t>指针同步，采集精度为1</w:t>
      </w:r>
      <w:r>
        <w:rPr>
          <w:rFonts w:hint="eastAsia" w:ascii="宋体" w:hAnsi="宋体" w:cs="宋体"/>
          <w:bCs/>
          <w:sz w:val="24"/>
          <w:lang w:val="en-US" w:eastAsia="zh-CN"/>
        </w:rPr>
        <w:t>00</w:t>
      </w:r>
      <w:r>
        <w:rPr>
          <w:rFonts w:ascii="宋体" w:hAnsi="宋体" w:cs="宋体"/>
          <w:bCs/>
          <w:sz w:val="24"/>
        </w:rPr>
        <w:t>L</w:t>
      </w:r>
      <w:r>
        <w:rPr>
          <w:rFonts w:hint="eastAsia" w:ascii="宋体" w:hAnsi="宋体" w:cs="宋体"/>
          <w:bCs/>
          <w:sz w:val="24"/>
        </w:rPr>
        <w:t>用水量。</w:t>
      </w:r>
    </w:p>
    <w:p w14:paraId="772396F4">
      <w:pPr>
        <w:pStyle w:val="61"/>
        <w:numPr>
          <w:ilvl w:val="0"/>
          <w:numId w:val="3"/>
        </w:numPr>
        <w:snapToGrid w:val="0"/>
        <w:spacing w:before="100" w:beforeAutospacing="1" w:after="100" w:afterAutospacing="1" w:line="360" w:lineRule="auto"/>
        <w:ind w:firstLineChars="0"/>
        <w:rPr>
          <w:rFonts w:ascii="新宋体" w:hAnsi="新宋体" w:eastAsia="新宋体"/>
          <w:sz w:val="24"/>
        </w:rPr>
      </w:pPr>
      <w:r>
        <w:rPr>
          <w:rFonts w:hint="eastAsia" w:ascii="新宋体" w:hAnsi="新宋体" w:eastAsia="新宋体"/>
          <w:sz w:val="24"/>
        </w:rPr>
        <w:t>DN15-</w:t>
      </w:r>
      <w:r>
        <w:rPr>
          <w:rFonts w:hint="eastAsia" w:ascii="新宋体" w:hAnsi="新宋体" w:eastAsia="新宋体"/>
          <w:sz w:val="24"/>
          <w:lang w:val="en-US" w:eastAsia="zh-CN"/>
        </w:rPr>
        <w:t>200</w:t>
      </w:r>
      <w:r>
        <w:rPr>
          <w:rFonts w:hint="eastAsia" w:ascii="新宋体" w:hAnsi="新宋体" w:eastAsia="新宋体"/>
          <w:sz w:val="24"/>
        </w:rPr>
        <w:t>无磁远传水表应有防止脱磁干扰的结构设计，在传感器位置有可靠的防护措施。</w:t>
      </w:r>
    </w:p>
    <w:p w14:paraId="272408EB">
      <w:pPr>
        <w:numPr>
          <w:ilvl w:val="0"/>
          <w:numId w:val="3"/>
        </w:numPr>
        <w:snapToGrid w:val="0"/>
        <w:spacing w:before="100" w:beforeAutospacing="1" w:after="100" w:afterAutospacing="1" w:line="360" w:lineRule="auto"/>
        <w:rPr>
          <w:rFonts w:ascii="宋体" w:hAnsi="宋体" w:cs="Arial"/>
          <w:sz w:val="24"/>
        </w:rPr>
      </w:pPr>
      <w:r>
        <w:rPr>
          <w:rFonts w:hint="eastAsia" w:ascii="新宋体" w:hAnsi="新宋体" w:eastAsia="新宋体"/>
          <w:sz w:val="24"/>
        </w:rPr>
        <w:t>无磁远传水表的</w:t>
      </w:r>
      <w:r>
        <w:rPr>
          <w:rFonts w:hint="eastAsia" w:ascii="宋体" w:hAnsi="宋体" w:cs="宋体"/>
          <w:bCs/>
          <w:sz w:val="24"/>
        </w:rPr>
        <w:t>机电转换误差不应超过±1个脉冲当量；远传水表的抄读准确率≥99.8%；一次抄读成功率≥99%，三天内抄读成功率应为100%，系统数据抄读总出错率≤0.1%。</w:t>
      </w:r>
    </w:p>
    <w:p w14:paraId="070B1A79">
      <w:pPr>
        <w:numPr>
          <w:ilvl w:val="0"/>
          <w:numId w:val="3"/>
        </w:numPr>
        <w:snapToGrid w:val="0"/>
        <w:spacing w:before="100" w:beforeAutospacing="1" w:after="100" w:afterAutospacing="1" w:line="360" w:lineRule="auto"/>
        <w:rPr>
          <w:rFonts w:ascii="宋体" w:hAnsi="宋体" w:cs="Arial"/>
          <w:sz w:val="24"/>
        </w:rPr>
      </w:pPr>
      <w:r>
        <w:rPr>
          <w:rFonts w:hint="eastAsia" w:ascii="宋体" w:hAnsi="宋体" w:cs="宋体"/>
          <w:bCs/>
          <w:sz w:val="24"/>
        </w:rPr>
        <w:t>无磁</w:t>
      </w:r>
      <w:r>
        <w:rPr>
          <w:rFonts w:hint="eastAsia" w:ascii="宋体" w:hAnsi="宋体" w:cs="宋体"/>
          <w:sz w:val="24"/>
        </w:rPr>
        <w:t>远传水表的采集频率、数据发送时间、数据发送频率等参数可在远传抄表系统平台发送指令进行设置，默认方式</w:t>
      </w:r>
      <w:r>
        <w:rPr>
          <w:rFonts w:hint="eastAsia" w:ascii="宋体" w:hAnsi="宋体" w:cs="宋体"/>
          <w:bCs/>
          <w:sz w:val="24"/>
        </w:rPr>
        <w:t>为1小时/次采集，1次/日上报，2</w:t>
      </w:r>
      <w:r>
        <w:rPr>
          <w:rFonts w:ascii="宋体" w:hAnsi="宋体" w:cs="宋体"/>
          <w:bCs/>
          <w:sz w:val="24"/>
        </w:rPr>
        <w:t>4</w:t>
      </w:r>
      <w:r>
        <w:rPr>
          <w:rFonts w:hint="eastAsia" w:ascii="宋体" w:hAnsi="宋体" w:cs="宋体"/>
          <w:bCs/>
          <w:sz w:val="24"/>
        </w:rPr>
        <w:t>条数据</w:t>
      </w:r>
      <w:r>
        <w:rPr>
          <w:rFonts w:hint="eastAsia" w:ascii="宋体" w:hAnsi="宋体" w:cs="宋体"/>
          <w:sz w:val="24"/>
        </w:rPr>
        <w:t>。</w:t>
      </w:r>
    </w:p>
    <w:p w14:paraId="39138F6D">
      <w:pPr>
        <w:numPr>
          <w:ilvl w:val="0"/>
          <w:numId w:val="3"/>
        </w:numPr>
        <w:snapToGrid w:val="0"/>
        <w:spacing w:before="100" w:beforeAutospacing="1" w:after="100" w:afterAutospacing="1" w:line="360" w:lineRule="auto"/>
        <w:rPr>
          <w:rFonts w:ascii="宋体" w:hAnsi="宋体" w:cs="Arial"/>
          <w:sz w:val="24"/>
        </w:rPr>
      </w:pPr>
      <w:r>
        <w:rPr>
          <w:rFonts w:hint="eastAsia" w:ascii="宋体" w:hAnsi="宋体" w:cs="Arial"/>
          <w:sz w:val="24"/>
        </w:rPr>
        <w:t>上传的水表数据信息至少应包含：水表识别码、采集时间、水表读数、电池电压和报警状态等信息。</w:t>
      </w:r>
    </w:p>
    <w:p w14:paraId="56DC72C5">
      <w:pPr>
        <w:numPr>
          <w:ilvl w:val="0"/>
          <w:numId w:val="3"/>
        </w:numPr>
        <w:snapToGrid w:val="0"/>
        <w:spacing w:before="100" w:beforeAutospacing="1" w:after="100" w:afterAutospacing="1" w:line="360" w:lineRule="auto"/>
        <w:rPr>
          <w:rFonts w:ascii="宋体" w:hAnsi="宋体" w:cs="Arial"/>
          <w:sz w:val="24"/>
        </w:rPr>
      </w:pPr>
      <w:r>
        <w:rPr>
          <w:rFonts w:hint="eastAsia" w:ascii="宋体" w:hAnsi="宋体" w:cs="Arial"/>
          <w:sz w:val="24"/>
        </w:rPr>
        <w:t>支持主动触发上报、实时周期上报、日报、被动异常上报（供电异常、拆表异常、存储异常等）。</w:t>
      </w:r>
    </w:p>
    <w:p w14:paraId="002AD3A8">
      <w:pPr>
        <w:numPr>
          <w:ilvl w:val="0"/>
          <w:numId w:val="3"/>
        </w:numPr>
        <w:snapToGrid w:val="0"/>
        <w:spacing w:before="100" w:beforeAutospacing="1" w:after="100" w:afterAutospacing="1" w:line="360" w:lineRule="auto"/>
        <w:rPr>
          <w:rFonts w:ascii="宋体" w:hAnsi="宋体" w:cs="Arial"/>
          <w:sz w:val="24"/>
        </w:rPr>
      </w:pPr>
      <w:r>
        <w:rPr>
          <w:rFonts w:hint="eastAsia" w:ascii="宋体" w:hAnsi="宋体" w:cs="Arial"/>
          <w:sz w:val="24"/>
        </w:rPr>
        <w:t>水表供电方式：采用锂电池供电，在默认的抄表方式下锂电池寿命必须不低于6年。</w:t>
      </w:r>
    </w:p>
    <w:p w14:paraId="363A67F5">
      <w:pPr>
        <w:numPr>
          <w:ilvl w:val="0"/>
          <w:numId w:val="3"/>
        </w:numPr>
        <w:snapToGrid w:val="0"/>
        <w:spacing w:before="100" w:beforeAutospacing="1" w:after="100" w:afterAutospacing="1" w:line="360" w:lineRule="auto"/>
        <w:rPr>
          <w:rFonts w:ascii="宋体" w:hAnsi="宋体" w:cs="Arial"/>
          <w:sz w:val="24"/>
        </w:rPr>
      </w:pPr>
      <w:r>
        <w:rPr>
          <w:rFonts w:hint="eastAsia" w:ascii="宋体" w:hAnsi="宋体" w:cs="宋体"/>
          <w:bCs/>
          <w:sz w:val="24"/>
        </w:rPr>
        <w:t>无磁</w:t>
      </w:r>
      <w:r>
        <w:rPr>
          <w:rFonts w:hint="eastAsia" w:ascii="宋体" w:hAnsi="宋体" w:cs="宋体"/>
          <w:sz w:val="24"/>
        </w:rPr>
        <w:t>远传水表的</w:t>
      </w:r>
      <w:r>
        <w:rPr>
          <w:rFonts w:hint="eastAsia" w:ascii="宋体" w:hAnsi="宋体" w:cs="Arial"/>
          <w:sz w:val="24"/>
        </w:rPr>
        <w:t>电磁环境等级达到E</w:t>
      </w:r>
      <w:r>
        <w:rPr>
          <w:rFonts w:ascii="宋体" w:hAnsi="宋体" w:cs="Arial"/>
          <w:sz w:val="24"/>
        </w:rPr>
        <w:t>2</w:t>
      </w:r>
      <w:r>
        <w:rPr>
          <w:rFonts w:hint="eastAsia" w:ascii="宋体" w:hAnsi="宋体" w:cs="Arial"/>
          <w:sz w:val="24"/>
        </w:rPr>
        <w:t>级，即适应工业的电磁环境；</w:t>
      </w:r>
    </w:p>
    <w:p w14:paraId="0B57C381">
      <w:pPr>
        <w:numPr>
          <w:ilvl w:val="0"/>
          <w:numId w:val="3"/>
        </w:numPr>
        <w:snapToGrid w:val="0"/>
        <w:spacing w:before="100" w:beforeAutospacing="1" w:after="100" w:afterAutospacing="1" w:line="360" w:lineRule="auto"/>
        <w:rPr>
          <w:rFonts w:ascii="宋体" w:hAnsi="宋体" w:cs="Arial"/>
          <w:sz w:val="24"/>
        </w:rPr>
      </w:pPr>
      <w:r>
        <w:rPr>
          <w:rFonts w:hint="eastAsia" w:ascii="宋体" w:hAnsi="宋体" w:cs="宋体"/>
          <w:bCs/>
          <w:sz w:val="24"/>
        </w:rPr>
        <w:t>无磁</w:t>
      </w:r>
      <w:r>
        <w:rPr>
          <w:rFonts w:hint="eastAsia" w:ascii="宋体" w:hAnsi="宋体" w:cs="宋体"/>
          <w:sz w:val="24"/>
        </w:rPr>
        <w:t>远传水表的</w:t>
      </w:r>
      <w:r>
        <w:rPr>
          <w:rFonts w:hint="eastAsia" w:ascii="宋体" w:hAnsi="宋体" w:cs="Arial"/>
          <w:sz w:val="24"/>
        </w:rPr>
        <w:t>气候和机械环境条件的等级达到</w:t>
      </w:r>
      <w:r>
        <w:rPr>
          <w:rFonts w:ascii="宋体" w:hAnsi="宋体" w:cs="Arial"/>
          <w:sz w:val="24"/>
        </w:rPr>
        <w:t>O</w:t>
      </w:r>
      <w:r>
        <w:rPr>
          <w:rFonts w:hint="eastAsia" w:ascii="宋体" w:hAnsi="宋体" w:cs="Arial"/>
          <w:sz w:val="24"/>
        </w:rPr>
        <w:t>级，即安装在室外的固定式水表。</w:t>
      </w:r>
    </w:p>
    <w:p w14:paraId="10A781EC">
      <w:pPr>
        <w:numPr>
          <w:ilvl w:val="0"/>
          <w:numId w:val="3"/>
        </w:numPr>
        <w:snapToGrid w:val="0"/>
        <w:spacing w:before="100" w:beforeAutospacing="1" w:after="100" w:afterAutospacing="1" w:line="360" w:lineRule="auto"/>
        <w:rPr>
          <w:rFonts w:ascii="宋体" w:hAnsi="宋体" w:cs="Arial"/>
          <w:color w:val="000000"/>
          <w:sz w:val="24"/>
        </w:rPr>
      </w:pPr>
      <w:r>
        <w:rPr>
          <w:rFonts w:hint="eastAsia" w:ascii="宋体" w:hAnsi="宋体" w:cs="宋体"/>
          <w:bCs/>
          <w:sz w:val="24"/>
        </w:rPr>
        <w:t>无磁</w:t>
      </w:r>
      <w:r>
        <w:rPr>
          <w:rFonts w:hint="eastAsia" w:ascii="宋体" w:hAnsi="宋体" w:cs="宋体"/>
          <w:sz w:val="24"/>
        </w:rPr>
        <w:t>远传水表</w:t>
      </w:r>
      <w:r>
        <w:rPr>
          <w:rFonts w:hint="eastAsia" w:ascii="宋体" w:hAnsi="宋体" w:cs="Arial"/>
          <w:color w:val="000000"/>
          <w:sz w:val="24"/>
        </w:rPr>
        <w:t>在断电的情况下，表内数据至少可保存十年，通电时，具有恢复数据的功能，保证表内数据准确无误。</w:t>
      </w:r>
    </w:p>
    <w:p w14:paraId="23E2D926">
      <w:pPr>
        <w:numPr>
          <w:ilvl w:val="0"/>
          <w:numId w:val="3"/>
        </w:numPr>
        <w:snapToGrid w:val="0"/>
        <w:spacing w:before="100" w:beforeAutospacing="1" w:after="100" w:afterAutospacing="1" w:line="360" w:lineRule="auto"/>
        <w:rPr>
          <w:rFonts w:ascii="宋体" w:hAnsi="宋体" w:cs="Arial"/>
          <w:sz w:val="24"/>
        </w:rPr>
      </w:pPr>
      <w:r>
        <w:rPr>
          <w:rFonts w:hint="eastAsia" w:ascii="宋体" w:hAnsi="宋体" w:cs="Arial"/>
          <w:sz w:val="24"/>
        </w:rPr>
        <w:t>应具有日历、计时、闰年自动转换功能，确保时间的准确性。</w:t>
      </w:r>
    </w:p>
    <w:p w14:paraId="32BFBA22">
      <w:pPr>
        <w:numPr>
          <w:ilvl w:val="0"/>
          <w:numId w:val="3"/>
        </w:numPr>
        <w:snapToGrid w:val="0"/>
        <w:spacing w:before="100" w:beforeAutospacing="1" w:after="100" w:afterAutospacing="1" w:line="360" w:lineRule="auto"/>
        <w:rPr>
          <w:rFonts w:ascii="宋体" w:hAnsi="宋体" w:cs="Arial"/>
          <w:sz w:val="24"/>
        </w:rPr>
      </w:pPr>
      <w:r>
        <w:rPr>
          <w:rFonts w:hint="eastAsia" w:ascii="宋体" w:hAnsi="宋体" w:cs="Arial"/>
          <w:sz w:val="24"/>
        </w:rPr>
        <w:t>电子装置均应采用密封灌封工艺灌封，应具有防尘、防潮能力、防水能力，满足 IP68防护等级。</w:t>
      </w:r>
    </w:p>
    <w:p w14:paraId="4A589495">
      <w:pPr>
        <w:numPr>
          <w:ilvl w:val="0"/>
          <w:numId w:val="3"/>
        </w:numPr>
        <w:snapToGrid w:val="0"/>
        <w:spacing w:before="100" w:beforeAutospacing="1" w:after="100" w:afterAutospacing="1" w:line="360" w:lineRule="auto"/>
        <w:rPr>
          <w:rFonts w:ascii="宋体" w:hAnsi="宋体" w:cs="Arial"/>
          <w:sz w:val="24"/>
        </w:rPr>
      </w:pPr>
      <w:r>
        <w:rPr>
          <w:rFonts w:hint="eastAsia" w:ascii="宋体" w:hAnsi="宋体" w:cs="宋体"/>
          <w:bCs/>
          <w:sz w:val="24"/>
        </w:rPr>
        <w:t>无磁远传水表指示装置应清晰可读，电子远传装置不得遮挡基表的计数器、</w:t>
      </w:r>
      <w:r>
        <w:rPr>
          <w:rFonts w:hint="eastAsia" w:ascii="宋体" w:hAnsi="宋体" w:cs="宋体"/>
          <w:bCs/>
          <w:sz w:val="24"/>
          <w:lang w:val="en-US" w:eastAsia="zh-CN"/>
        </w:rPr>
        <w:t>红色指针、</w:t>
      </w:r>
      <w:r>
        <w:rPr>
          <w:rFonts w:hint="eastAsia" w:ascii="宋体" w:hAnsi="宋体" w:cs="宋体"/>
          <w:bCs/>
          <w:sz w:val="24"/>
        </w:rPr>
        <w:t>表号，不得对摄像式检测机台以及人工识别读数造成影响，要求能直接抄读水表读数。</w:t>
      </w:r>
    </w:p>
    <w:p w14:paraId="227A800C">
      <w:pPr>
        <w:numPr>
          <w:ilvl w:val="0"/>
          <w:numId w:val="3"/>
        </w:numPr>
        <w:snapToGrid w:val="0"/>
        <w:spacing w:before="100" w:beforeAutospacing="1" w:after="100" w:afterAutospacing="1" w:line="360" w:lineRule="auto"/>
        <w:rPr>
          <w:rFonts w:ascii="宋体" w:hAnsi="宋体" w:cs="Arial"/>
          <w:sz w:val="24"/>
        </w:rPr>
      </w:pPr>
      <w:r>
        <w:rPr>
          <w:rFonts w:hint="eastAsia" w:ascii="宋体" w:hAnsi="宋体" w:cs="Arial"/>
          <w:sz w:val="24"/>
        </w:rPr>
        <w:t>模块外观上应清晰印有表具相应信息：水表类型、水表型号、生产厂家、防护等级、电池使用年限等信息。</w:t>
      </w:r>
    </w:p>
    <w:p w14:paraId="19EB6F11">
      <w:pPr>
        <w:numPr>
          <w:ilvl w:val="0"/>
          <w:numId w:val="3"/>
        </w:numPr>
        <w:snapToGrid w:val="0"/>
        <w:spacing w:before="100" w:beforeAutospacing="1" w:after="100" w:afterAutospacing="1" w:line="360" w:lineRule="auto"/>
        <w:rPr>
          <w:rFonts w:ascii="宋体" w:hAnsi="宋体" w:cs="Arial"/>
          <w:sz w:val="24"/>
        </w:rPr>
      </w:pPr>
      <w:r>
        <w:rPr>
          <w:rFonts w:hint="eastAsia" w:ascii="宋体" w:hAnsi="宋体" w:cs="Arial"/>
          <w:sz w:val="24"/>
        </w:rPr>
        <w:t>流量资费：供应商提供不少于6年的免费流量资费。</w:t>
      </w:r>
    </w:p>
    <w:p w14:paraId="6EB21158">
      <w:pPr>
        <w:snapToGrid w:val="0"/>
        <w:spacing w:before="100" w:beforeAutospacing="1" w:after="100" w:afterAutospacing="1"/>
        <w:rPr>
          <w:b/>
          <w:kern w:val="0"/>
          <w:sz w:val="24"/>
        </w:rPr>
      </w:pPr>
      <w:r>
        <w:rPr>
          <w:rFonts w:hint="eastAsia"/>
          <w:b/>
          <w:kern w:val="0"/>
          <w:sz w:val="24"/>
        </w:rPr>
        <w:t>四、抄表平台技术对接要求</w:t>
      </w:r>
    </w:p>
    <w:p w14:paraId="748BD4B3">
      <w:pPr>
        <w:snapToGrid w:val="0"/>
        <w:spacing w:before="100" w:beforeAutospacing="1" w:after="100" w:afterAutospacing="1" w:line="360" w:lineRule="auto"/>
        <w:ind w:firstLine="480" w:firstLineChars="200"/>
        <w:rPr>
          <w:rFonts w:hint="eastAsia" w:ascii="宋体" w:hAnsi="宋体" w:cs="Arial"/>
          <w:color w:val="000000"/>
          <w:sz w:val="24"/>
        </w:rPr>
      </w:pPr>
      <w:r>
        <w:rPr>
          <w:rFonts w:hint="eastAsia" w:ascii="宋体" w:hAnsi="宋体" w:cs="Arial"/>
          <w:color w:val="000000"/>
          <w:sz w:val="24"/>
        </w:rPr>
        <w:t>制造商厂家免费提供的 NB-IOT 无线远传水表抄表平台，能根据采购招标公司现有营业收费系统软件，实现抄表数据的无障碍导入或与现有营收系统配套对接，投标单位提供配套软件承诺。投标厂家须选网络质量好、服务优的</w:t>
      </w:r>
      <w:r>
        <w:rPr>
          <w:rFonts w:hint="eastAsia" w:ascii="宋体" w:hAnsi="宋体" w:cs="宋体"/>
          <w:bCs/>
          <w:color w:val="000000"/>
          <w:sz w:val="24"/>
          <w:szCs w:val="24"/>
          <w:lang w:val="en-US" w:eastAsia="zh-CN"/>
        </w:rPr>
        <w:t>南平市延平区</w:t>
      </w:r>
      <w:r>
        <w:rPr>
          <w:rFonts w:hint="eastAsia" w:ascii="宋体" w:hAnsi="宋体" w:cs="Arial"/>
          <w:color w:val="000000"/>
          <w:sz w:val="24"/>
        </w:rPr>
        <w:t>通讯运营商（电信、移动、联通）提供 NB</w:t>
      </w:r>
      <w:r>
        <w:rPr>
          <w:rFonts w:ascii="宋体" w:hAnsi="宋体" w:cs="Arial"/>
          <w:color w:val="000000"/>
          <w:sz w:val="24"/>
        </w:rPr>
        <w:t>-IOT</w:t>
      </w:r>
      <w:r>
        <w:rPr>
          <w:rFonts w:hint="eastAsia" w:ascii="宋体" w:hAnsi="宋体" w:cs="Arial"/>
          <w:color w:val="000000"/>
          <w:sz w:val="24"/>
        </w:rPr>
        <w:t xml:space="preserve"> 网络服务。</w:t>
      </w:r>
    </w:p>
    <w:p w14:paraId="19CBD5D6">
      <w:pPr>
        <w:widowControl w:val="0"/>
        <w:kinsoku/>
        <w:autoSpaceDE/>
        <w:autoSpaceDN/>
        <w:adjustRightInd/>
        <w:snapToGrid/>
        <w:spacing w:line="400" w:lineRule="exact"/>
        <w:ind w:right="210"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五、</w:t>
      </w:r>
      <w:r>
        <w:rPr>
          <w:rFonts w:hint="eastAsia" w:ascii="宋体" w:hAnsi="宋体" w:eastAsia="宋体" w:cs="宋体"/>
          <w:b/>
          <w:bCs/>
          <w:color w:val="auto"/>
          <w:sz w:val="24"/>
          <w:szCs w:val="24"/>
          <w:lang w:val="en-US" w:eastAsia="zh-CN"/>
        </w:rPr>
        <w:t>售后服务条款：</w:t>
      </w:r>
    </w:p>
    <w:p w14:paraId="4D806FD7">
      <w:pPr>
        <w:widowControl w:val="0"/>
        <w:kinsoku/>
        <w:autoSpaceDE/>
        <w:autoSpaceDN/>
        <w:adjustRightInd/>
        <w:snapToGrid/>
        <w:spacing w:line="400" w:lineRule="exact"/>
        <w:ind w:right="21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1.服务内容</w:t>
      </w:r>
    </w:p>
    <w:p w14:paraId="15EE0812">
      <w:pPr>
        <w:widowControl w:val="0"/>
        <w:kinsoku/>
        <w:autoSpaceDE/>
        <w:autoSpaceDN/>
        <w:adjustRightInd/>
        <w:snapToGrid/>
        <w:spacing w:line="400" w:lineRule="exact"/>
        <w:ind w:right="21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安装指导：在水表安装过程中，如需要，可提供专业的安装指导。在甲方水表初次安装完成后，</w:t>
      </w:r>
      <w:r>
        <w:rPr>
          <w:rFonts w:hint="eastAsia" w:ascii="宋体" w:hAnsi="宋体" w:cs="宋体"/>
          <w:color w:val="auto"/>
          <w:sz w:val="24"/>
          <w:szCs w:val="24"/>
          <w:lang w:val="en-US" w:eastAsia="zh-CN"/>
        </w:rPr>
        <w:t>供货方</w:t>
      </w:r>
      <w:r>
        <w:rPr>
          <w:rFonts w:hint="eastAsia" w:ascii="宋体" w:hAnsi="宋体" w:eastAsia="宋体" w:cs="宋体"/>
          <w:color w:val="auto"/>
          <w:sz w:val="24"/>
          <w:szCs w:val="24"/>
          <w:lang w:val="en-US" w:eastAsia="zh-CN"/>
        </w:rPr>
        <w:t>须按照甲方要求安排技术人员前往现场复核铅封和水表信息等资料并提供给甲方，以便于甲方后期使用。</w:t>
      </w:r>
    </w:p>
    <w:p w14:paraId="0BC045F8">
      <w:pPr>
        <w:widowControl w:val="0"/>
        <w:kinsoku/>
        <w:autoSpaceDE/>
        <w:autoSpaceDN/>
        <w:adjustRightInd/>
        <w:snapToGrid/>
        <w:spacing w:line="400" w:lineRule="exact"/>
        <w:ind w:right="21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故障排查：当水表出现故障时，将及时响应，</w:t>
      </w:r>
      <w:r>
        <w:rPr>
          <w:rFonts w:hint="eastAsia" w:ascii="宋体" w:hAnsi="宋体" w:cs="宋体"/>
          <w:color w:val="auto"/>
          <w:sz w:val="24"/>
          <w:szCs w:val="24"/>
          <w:lang w:val="en-US" w:eastAsia="zh-CN"/>
        </w:rPr>
        <w:t>供货方</w:t>
      </w:r>
      <w:r>
        <w:rPr>
          <w:rFonts w:hint="eastAsia" w:ascii="宋体" w:hAnsi="宋体" w:eastAsia="宋体" w:cs="宋体"/>
          <w:color w:val="auto"/>
          <w:sz w:val="24"/>
          <w:szCs w:val="24"/>
          <w:lang w:val="en-US" w:eastAsia="zh-CN"/>
        </w:rPr>
        <w:t>派遣专业技术人员现场进行故障排查并做好用户的解释工作。</w:t>
      </w:r>
    </w:p>
    <w:p w14:paraId="74553243">
      <w:pPr>
        <w:widowControl w:val="0"/>
        <w:kinsoku/>
        <w:autoSpaceDE/>
        <w:autoSpaceDN/>
        <w:adjustRightInd/>
        <w:snapToGrid/>
        <w:spacing w:line="400" w:lineRule="exact"/>
        <w:ind w:right="21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 维修服务：对于故障水表，将在规定时间内尽快进行维修，确保恢复正常使用。维修过程中，将承诺使用符合国家质量标准的配件。</w:t>
      </w:r>
    </w:p>
    <w:p w14:paraId="7A0C2C69">
      <w:pPr>
        <w:widowControl w:val="0"/>
        <w:kinsoku/>
        <w:autoSpaceDE/>
        <w:autoSpaceDN/>
        <w:adjustRightInd/>
        <w:snapToGrid/>
        <w:spacing w:line="400" w:lineRule="exact"/>
        <w:ind w:right="210"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1.4远传水表规定每3个月</w:t>
      </w:r>
      <w:r>
        <w:rPr>
          <w:rFonts w:hint="eastAsia" w:ascii="宋体" w:hAnsi="宋体" w:cs="宋体"/>
          <w:color w:val="auto"/>
          <w:sz w:val="24"/>
          <w:szCs w:val="24"/>
          <w:lang w:val="en-US" w:eastAsia="zh-CN"/>
        </w:rPr>
        <w:t>供货</w:t>
      </w:r>
      <w:r>
        <w:rPr>
          <w:rFonts w:hint="eastAsia" w:ascii="宋体" w:hAnsi="宋体" w:eastAsia="宋体" w:cs="宋体"/>
          <w:color w:val="auto"/>
          <w:sz w:val="24"/>
          <w:szCs w:val="24"/>
          <w:highlight w:val="none"/>
          <w:lang w:val="en-US" w:eastAsia="zh-CN"/>
        </w:rPr>
        <w:t>方必须进行一次普查现场基表数据与远传数据是否一致并记录登记情况，有问题及时处理。</w:t>
      </w:r>
    </w:p>
    <w:p w14:paraId="0D1D3736">
      <w:pPr>
        <w:widowControl w:val="0"/>
        <w:kinsoku/>
        <w:autoSpaceDE/>
        <w:autoSpaceDN/>
        <w:adjustRightInd/>
        <w:snapToGrid/>
        <w:spacing w:line="400" w:lineRule="exact"/>
        <w:ind w:right="21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1.5服务期限：自水表初次安装完成</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lang w:val="en-US" w:eastAsia="zh-CN"/>
        </w:rPr>
        <w:t>之日起，</w:t>
      </w:r>
      <w:r>
        <w:rPr>
          <w:rFonts w:hint="eastAsia" w:ascii="宋体" w:hAnsi="宋体" w:cs="宋体"/>
          <w:color w:val="auto"/>
          <w:sz w:val="24"/>
          <w:szCs w:val="24"/>
          <w:lang w:val="en-US" w:eastAsia="zh-CN"/>
        </w:rPr>
        <w:t>供货</w:t>
      </w:r>
      <w:r>
        <w:rPr>
          <w:rFonts w:hint="eastAsia" w:ascii="宋体" w:hAnsi="宋体" w:eastAsia="宋体" w:cs="宋体"/>
          <w:color w:val="auto"/>
          <w:sz w:val="24"/>
          <w:szCs w:val="24"/>
          <w:lang w:val="en-US" w:eastAsia="zh-CN"/>
        </w:rPr>
        <w:t>方提供为期六年的免费售后服务。服务期满后，</w:t>
      </w:r>
      <w:r>
        <w:rPr>
          <w:rFonts w:hint="eastAsia" w:ascii="宋体" w:hAnsi="宋体" w:cs="宋体"/>
          <w:color w:val="auto"/>
          <w:sz w:val="24"/>
          <w:szCs w:val="24"/>
          <w:lang w:val="en-US" w:eastAsia="zh-CN"/>
        </w:rPr>
        <w:t>供货</w:t>
      </w:r>
      <w:r>
        <w:rPr>
          <w:rFonts w:hint="eastAsia" w:ascii="宋体" w:hAnsi="宋体" w:eastAsia="宋体" w:cs="宋体"/>
          <w:color w:val="auto"/>
          <w:sz w:val="24"/>
          <w:szCs w:val="24"/>
          <w:lang w:val="en-US" w:eastAsia="zh-CN"/>
        </w:rPr>
        <w:t>方继续提供终身有偿服务，具体费用届时协商确定。</w:t>
      </w:r>
    </w:p>
    <w:p w14:paraId="0CC4F0AB">
      <w:pPr>
        <w:widowControl w:val="0"/>
        <w:kinsoku/>
        <w:autoSpaceDE/>
        <w:autoSpaceDN/>
        <w:adjustRightInd/>
        <w:snapToGrid/>
        <w:spacing w:line="400" w:lineRule="exact"/>
        <w:ind w:right="21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2.技术支持</w:t>
      </w:r>
    </w:p>
    <w:p w14:paraId="4236E803">
      <w:pPr>
        <w:widowControl w:val="0"/>
        <w:kinsoku/>
        <w:autoSpaceDE/>
        <w:autoSpaceDN/>
        <w:adjustRightInd/>
        <w:snapToGrid/>
        <w:spacing w:line="400" w:lineRule="exact"/>
        <w:ind w:right="21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2.1 硬件故障</w:t>
      </w:r>
    </w:p>
    <w:p w14:paraId="4E280C3E">
      <w:pPr>
        <w:widowControl w:val="0"/>
        <w:kinsoku/>
        <w:autoSpaceDE/>
        <w:autoSpaceDN/>
        <w:adjustRightInd/>
        <w:snapToGrid/>
        <w:spacing w:line="400" w:lineRule="exact"/>
        <w:ind w:right="21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技术人员在接到通知后，2小时内准备好维修工具和备用零件，赶到现场。</w:t>
      </w:r>
    </w:p>
    <w:p w14:paraId="3D165EB4">
      <w:pPr>
        <w:widowControl w:val="0"/>
        <w:kinsoku/>
        <w:autoSpaceDE/>
        <w:autoSpaceDN/>
        <w:adjustRightInd/>
        <w:snapToGrid/>
        <w:spacing w:line="400" w:lineRule="exact"/>
        <w:ind w:right="21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到达现场后，首先对水表及周边环境进行检查，确定故障原因。</w:t>
      </w:r>
    </w:p>
    <w:p w14:paraId="652633DC">
      <w:pPr>
        <w:widowControl w:val="0"/>
        <w:kinsoku/>
        <w:autoSpaceDE/>
        <w:autoSpaceDN/>
        <w:adjustRightInd/>
        <w:snapToGrid/>
        <w:spacing w:line="400" w:lineRule="exact"/>
        <w:ind w:right="21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对于可现场修复的故障，如传感器损坏、线路松动等，立即进行维修，维修时间一般不超过 4 小时。</w:t>
      </w:r>
    </w:p>
    <w:p w14:paraId="600CCE57">
      <w:pPr>
        <w:widowControl w:val="0"/>
        <w:kinsoku/>
        <w:autoSpaceDE/>
        <w:autoSpaceDN/>
        <w:adjustRightInd/>
        <w:snapToGrid/>
        <w:spacing w:line="400" w:lineRule="exact"/>
        <w:ind w:right="21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若故障较为严重，需要更换主要部件或返厂维修，技术人员应向甲方说明情况，并在 24 小时内提供临时解决方案，如安装备用水表或更换处理等。同时，将故障水表妥善包装后送回厂家维修，维修周期一般不超过 7 个工作日。</w:t>
      </w:r>
    </w:p>
    <w:p w14:paraId="53CB6B6D">
      <w:pPr>
        <w:widowControl w:val="0"/>
        <w:kinsoku/>
        <w:autoSpaceDE/>
        <w:autoSpaceDN/>
        <w:adjustRightInd/>
        <w:snapToGrid/>
        <w:spacing w:line="400" w:lineRule="exact"/>
        <w:ind w:right="21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2.2 软件故障</w:t>
      </w:r>
    </w:p>
    <w:p w14:paraId="10971C5C">
      <w:pPr>
        <w:widowControl w:val="0"/>
        <w:kinsoku/>
        <w:autoSpaceDE/>
        <w:autoSpaceDN/>
        <w:adjustRightInd/>
        <w:snapToGrid/>
        <w:spacing w:line="400" w:lineRule="exact"/>
        <w:ind w:right="21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技术人员远程连接水表系统，对软件进行诊断。</w:t>
      </w:r>
    </w:p>
    <w:p w14:paraId="17C919BF">
      <w:pPr>
        <w:widowControl w:val="0"/>
        <w:kinsoku/>
        <w:autoSpaceDE/>
        <w:autoSpaceDN/>
        <w:adjustRightInd/>
        <w:snapToGrid/>
        <w:spacing w:line="400" w:lineRule="exact"/>
        <w:ind w:right="21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对于一般性软件问题，如数据传输中断、计量不准确等，通过远程调试和参数调整进行修复，修复时间一般不超过 2 小时。</w:t>
      </w:r>
    </w:p>
    <w:p w14:paraId="282FDD88">
      <w:pPr>
        <w:widowControl w:val="0"/>
        <w:kinsoku/>
        <w:autoSpaceDE/>
        <w:autoSpaceDN/>
        <w:adjustRightInd/>
        <w:snapToGrid/>
        <w:spacing w:line="400" w:lineRule="exact"/>
        <w:ind w:right="21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对于复杂的软件故障，必要的情况下技术人员应在接到通知后，2小时内赶到现场进行处理，处理时间不超过 4 小时。</w:t>
      </w:r>
    </w:p>
    <w:p w14:paraId="59233F98">
      <w:pPr>
        <w:widowControl w:val="0"/>
        <w:kinsoku/>
        <w:autoSpaceDE/>
        <w:autoSpaceDN/>
        <w:adjustRightInd/>
        <w:snapToGrid/>
        <w:spacing w:line="400" w:lineRule="exact"/>
        <w:ind w:right="21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2.3 数据异常</w:t>
      </w:r>
    </w:p>
    <w:p w14:paraId="749E912F">
      <w:pPr>
        <w:widowControl w:val="0"/>
        <w:kinsoku/>
        <w:autoSpaceDE/>
        <w:autoSpaceDN/>
        <w:adjustRightInd/>
        <w:snapToGrid/>
        <w:spacing w:line="400" w:lineRule="exact"/>
        <w:ind w:right="21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数据分析人员对异常数据进行分析，确定数据异常的原因。</w:t>
      </w:r>
    </w:p>
    <w:p w14:paraId="2E06F3E7">
      <w:pPr>
        <w:widowControl w:val="0"/>
        <w:kinsoku/>
        <w:autoSpaceDE/>
        <w:autoSpaceDN/>
        <w:adjustRightInd/>
        <w:snapToGrid/>
        <w:spacing w:line="400" w:lineRule="exact"/>
        <w:ind w:right="21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如果是由于水表故障导致的数据异常，按照硬件或软件故障处理流程进行处理。</w:t>
      </w:r>
    </w:p>
    <w:p w14:paraId="09766B41">
      <w:pPr>
        <w:widowControl w:val="0"/>
        <w:kinsoku/>
        <w:autoSpaceDE/>
        <w:autoSpaceDN/>
        <w:adjustRightInd/>
        <w:snapToGrid/>
        <w:spacing w:line="400" w:lineRule="exact"/>
        <w:ind w:right="21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3.服务反馈</w:t>
      </w:r>
    </w:p>
    <w:p w14:paraId="47317967">
      <w:pPr>
        <w:widowControl w:val="0"/>
        <w:kinsoku/>
        <w:autoSpaceDE/>
        <w:autoSpaceDN/>
        <w:adjustRightInd/>
        <w:snapToGrid/>
        <w:spacing w:line="400" w:lineRule="exact"/>
        <w:ind w:right="21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3.1维修完成后，技术人员应向甲方详细说明故障原因和处理方法。</w:t>
      </w:r>
    </w:p>
    <w:p w14:paraId="308CB44D">
      <w:pPr>
        <w:widowControl w:val="0"/>
        <w:kinsoku/>
        <w:autoSpaceDE/>
        <w:autoSpaceDN/>
        <w:adjustRightInd/>
        <w:snapToGrid/>
        <w:spacing w:line="400" w:lineRule="exact"/>
        <w:ind w:right="21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（五）质保期满后，</w:t>
      </w:r>
      <w:r>
        <w:rPr>
          <w:rFonts w:hint="eastAsia" w:ascii="宋体" w:hAnsi="宋体" w:cs="宋体"/>
          <w:color w:val="auto"/>
          <w:sz w:val="24"/>
          <w:szCs w:val="24"/>
          <w:lang w:val="en-US" w:eastAsia="zh-CN"/>
        </w:rPr>
        <w:t>供货</w:t>
      </w:r>
      <w:r>
        <w:rPr>
          <w:rFonts w:hint="eastAsia" w:ascii="宋体" w:hAnsi="宋体" w:eastAsia="宋体" w:cs="宋体"/>
          <w:color w:val="auto"/>
          <w:sz w:val="24"/>
          <w:szCs w:val="24"/>
          <w:lang w:val="en-US" w:eastAsia="zh-CN"/>
        </w:rPr>
        <w:t>方仍需提供终身有偿维修服务，并保证自最后一批产品交付之日起10年内以不高于本合同对应产品单价的价格供应备品备件。若</w:t>
      </w:r>
      <w:r>
        <w:rPr>
          <w:rFonts w:hint="eastAsia" w:ascii="宋体" w:hAnsi="宋体" w:cs="宋体"/>
          <w:color w:val="auto"/>
          <w:sz w:val="24"/>
          <w:szCs w:val="24"/>
          <w:lang w:val="en-US" w:eastAsia="zh-CN"/>
        </w:rPr>
        <w:t>供货</w:t>
      </w:r>
      <w:r>
        <w:rPr>
          <w:rFonts w:hint="eastAsia" w:ascii="宋体" w:hAnsi="宋体" w:eastAsia="宋体" w:cs="宋体"/>
          <w:color w:val="auto"/>
          <w:sz w:val="24"/>
          <w:szCs w:val="24"/>
          <w:lang w:val="en-US" w:eastAsia="zh-CN"/>
        </w:rPr>
        <w:t>方无法供应，应免费向甲方提供技术图纸并授权第三方生产，或按市场公允价格采购替代品供甲方使用。</w:t>
      </w:r>
    </w:p>
    <w:p w14:paraId="7A82538D">
      <w:pPr>
        <w:widowControl w:val="0"/>
        <w:kinsoku/>
        <w:autoSpaceDE/>
        <w:autoSpaceDN/>
        <w:adjustRightInd/>
        <w:snapToGrid/>
        <w:spacing w:line="400" w:lineRule="exact"/>
        <w:ind w:right="21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（六）</w:t>
      </w:r>
      <w:r>
        <w:rPr>
          <w:rFonts w:hint="eastAsia" w:ascii="宋体" w:hAnsi="宋体" w:eastAsia="宋体" w:cs="宋体"/>
          <w:color w:val="auto"/>
          <w:sz w:val="24"/>
          <w:szCs w:val="24"/>
          <w:lang w:eastAsia="zh-CN"/>
        </w:rPr>
        <w:t>交付文件与验收：</w:t>
      </w:r>
      <w:r>
        <w:rPr>
          <w:rFonts w:hint="eastAsia" w:ascii="宋体" w:hAnsi="宋体" w:cs="宋体"/>
          <w:color w:val="auto"/>
          <w:sz w:val="24"/>
          <w:szCs w:val="24"/>
          <w:lang w:eastAsia="zh-CN"/>
        </w:rPr>
        <w:t>供货</w:t>
      </w:r>
      <w:r>
        <w:rPr>
          <w:rFonts w:hint="eastAsia" w:ascii="宋体" w:hAnsi="宋体" w:eastAsia="宋体" w:cs="宋体"/>
          <w:color w:val="auto"/>
          <w:sz w:val="24"/>
          <w:szCs w:val="24"/>
          <w:lang w:eastAsia="zh-CN"/>
        </w:rPr>
        <w:t>方应在交货时同时提供完整的产品质量合格证明、出厂检验报告、详尽的技术资料及安装指导手册。未能完整提供上述文件视为交付未完成，甲方有权拒绝验收，且质保期自文件补齐之日起计算。</w:t>
      </w:r>
      <w:r>
        <w:rPr>
          <w:rFonts w:hint="eastAsia" w:ascii="宋体" w:hAnsi="宋体" w:eastAsia="宋体" w:cs="宋体"/>
          <w:color w:val="auto"/>
          <w:sz w:val="24"/>
          <w:szCs w:val="24"/>
          <w:lang w:val="en-US" w:eastAsia="zh-CN"/>
        </w:rPr>
        <w:t xml:space="preserve">  </w:t>
      </w:r>
      <w:bookmarkStart w:id="2" w:name="_GoBack"/>
      <w:bookmarkEnd w:id="2"/>
    </w:p>
    <w:p w14:paraId="63B97EAA">
      <w:pPr>
        <w:snapToGrid w:val="0"/>
        <w:spacing w:before="100" w:beforeAutospacing="1" w:after="100" w:afterAutospacing="1" w:line="360" w:lineRule="auto"/>
        <w:ind w:firstLine="480" w:firstLineChars="200"/>
        <w:rPr>
          <w:rFonts w:hint="default" w:ascii="宋体" w:hAnsi="宋体" w:cs="Arial"/>
          <w:color w:val="000000"/>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Helvetica">
    <w:altName w:val="Arial"/>
    <w:panose1 w:val="020B0604020202020204"/>
    <w:charset w:val="00"/>
    <w:family w:val="swiss"/>
    <w:pitch w:val="default"/>
    <w:sig w:usb0="00000000" w:usb1="00000000" w:usb2="00000000" w:usb3="00000000" w:csb0="00000001"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036922"/>
    <w:multiLevelType w:val="multilevel"/>
    <w:tmpl w:val="1003692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7B30CE8"/>
    <w:multiLevelType w:val="multilevel"/>
    <w:tmpl w:val="37B30CE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4173F17"/>
    <w:multiLevelType w:val="multilevel"/>
    <w:tmpl w:val="54173F17"/>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NiZDgzOWI0MzRjZjkyZmFkNDVmNTMwNTM2MjgzY2IifQ=="/>
    <w:docVar w:name="KSO_WPS_MARK_KEY" w:val="51e473e9-044f-4ca5-8d2a-5fe24749f025"/>
  </w:docVars>
  <w:rsids>
    <w:rsidRoot w:val="00780656"/>
    <w:rsid w:val="001E7B98"/>
    <w:rsid w:val="005755A6"/>
    <w:rsid w:val="005B296B"/>
    <w:rsid w:val="00780656"/>
    <w:rsid w:val="007F110C"/>
    <w:rsid w:val="00BE38FC"/>
    <w:rsid w:val="00E13C1F"/>
    <w:rsid w:val="00E22150"/>
    <w:rsid w:val="00FA439C"/>
    <w:rsid w:val="021E5633"/>
    <w:rsid w:val="03257483"/>
    <w:rsid w:val="071B13C4"/>
    <w:rsid w:val="09D37A01"/>
    <w:rsid w:val="117D4F3B"/>
    <w:rsid w:val="19B842FE"/>
    <w:rsid w:val="1A7B1DFD"/>
    <w:rsid w:val="1A9A2283"/>
    <w:rsid w:val="1E4A7D3D"/>
    <w:rsid w:val="1F354C71"/>
    <w:rsid w:val="22B87790"/>
    <w:rsid w:val="249F4832"/>
    <w:rsid w:val="24E72569"/>
    <w:rsid w:val="250A26FB"/>
    <w:rsid w:val="26796F19"/>
    <w:rsid w:val="26967AF6"/>
    <w:rsid w:val="28911264"/>
    <w:rsid w:val="29C76E0D"/>
    <w:rsid w:val="2AE265E1"/>
    <w:rsid w:val="2C6E2FF3"/>
    <w:rsid w:val="2EE14FCD"/>
    <w:rsid w:val="310F40A2"/>
    <w:rsid w:val="32557709"/>
    <w:rsid w:val="33B9293B"/>
    <w:rsid w:val="36625EF3"/>
    <w:rsid w:val="381274A5"/>
    <w:rsid w:val="3C454CB2"/>
    <w:rsid w:val="41F2416D"/>
    <w:rsid w:val="4238781E"/>
    <w:rsid w:val="435127ED"/>
    <w:rsid w:val="446077EA"/>
    <w:rsid w:val="47694C08"/>
    <w:rsid w:val="4ACA75C6"/>
    <w:rsid w:val="4B5420A0"/>
    <w:rsid w:val="4BED66AD"/>
    <w:rsid w:val="4C1A5CE7"/>
    <w:rsid w:val="4C7E44E9"/>
    <w:rsid w:val="4D4C4DB0"/>
    <w:rsid w:val="4E955EC0"/>
    <w:rsid w:val="53095C1D"/>
    <w:rsid w:val="56F65731"/>
    <w:rsid w:val="58694A68"/>
    <w:rsid w:val="59F90B2B"/>
    <w:rsid w:val="5A5359CF"/>
    <w:rsid w:val="5D5977A1"/>
    <w:rsid w:val="61943148"/>
    <w:rsid w:val="639926E5"/>
    <w:rsid w:val="64887AE9"/>
    <w:rsid w:val="67C161FB"/>
    <w:rsid w:val="68F66048"/>
    <w:rsid w:val="6C5B13C8"/>
    <w:rsid w:val="73E54EFA"/>
    <w:rsid w:val="763000A3"/>
    <w:rsid w:val="78401E40"/>
    <w:rsid w:val="786F7023"/>
    <w:rsid w:val="7AF9719D"/>
    <w:rsid w:val="7C0644E9"/>
    <w:rsid w:val="7DE81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uiPriority="39" w:name="toc 6"/>
    <w:lsdException w:qFormat="1" w:unhideWhenUsed="0" w:uiPriority="39" w:semiHidden="0"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iPriority="99"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5"/>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46"/>
    <w:qFormat/>
    <w:uiPriority w:val="0"/>
    <w:pPr>
      <w:keepNext/>
      <w:keepLines/>
      <w:adjustRightInd w:val="0"/>
      <w:spacing w:before="260" w:after="260" w:line="416" w:lineRule="atLeast"/>
      <w:textAlignment w:val="baseline"/>
      <w:outlineLvl w:val="2"/>
    </w:pPr>
    <w:rPr>
      <w:b/>
      <w:bCs/>
      <w:sz w:val="32"/>
      <w:szCs w:val="32"/>
    </w:rPr>
  </w:style>
  <w:style w:type="paragraph" w:styleId="5">
    <w:name w:val="heading 4"/>
    <w:basedOn w:val="1"/>
    <w:next w:val="1"/>
    <w:link w:val="47"/>
    <w:semiHidden/>
    <w:unhideWhenUsed/>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1"/>
    <w:next w:val="7"/>
    <w:link w:val="110"/>
    <w:qFormat/>
    <w:uiPriority w:val="0"/>
    <w:pPr>
      <w:keepNext/>
      <w:keepLines/>
      <w:spacing w:before="280" w:after="290" w:line="376" w:lineRule="auto"/>
      <w:outlineLvl w:val="4"/>
    </w:pPr>
    <w:rPr>
      <w:b/>
      <w:sz w:val="28"/>
      <w:szCs w:val="20"/>
    </w:rPr>
  </w:style>
  <w:style w:type="paragraph" w:styleId="8">
    <w:name w:val="heading 6"/>
    <w:basedOn w:val="1"/>
    <w:next w:val="7"/>
    <w:link w:val="111"/>
    <w:qFormat/>
    <w:uiPriority w:val="0"/>
    <w:pPr>
      <w:keepNext/>
      <w:keepLines/>
      <w:spacing w:before="240" w:after="64" w:line="320" w:lineRule="auto"/>
      <w:outlineLvl w:val="5"/>
    </w:pPr>
    <w:rPr>
      <w:rFonts w:ascii="Arial" w:hAnsi="Arial" w:eastAsia="黑体"/>
      <w:b/>
      <w:sz w:val="24"/>
      <w:szCs w:val="20"/>
    </w:rPr>
  </w:style>
  <w:style w:type="paragraph" w:styleId="9">
    <w:name w:val="heading 7"/>
    <w:basedOn w:val="1"/>
    <w:next w:val="7"/>
    <w:link w:val="112"/>
    <w:qFormat/>
    <w:uiPriority w:val="0"/>
    <w:pPr>
      <w:keepNext/>
      <w:keepLines/>
      <w:spacing w:before="240" w:after="64" w:line="320" w:lineRule="auto"/>
      <w:outlineLvl w:val="6"/>
    </w:pPr>
    <w:rPr>
      <w:b/>
      <w:sz w:val="24"/>
      <w:szCs w:val="20"/>
    </w:rPr>
  </w:style>
  <w:style w:type="paragraph" w:styleId="10">
    <w:name w:val="heading 8"/>
    <w:basedOn w:val="1"/>
    <w:next w:val="7"/>
    <w:link w:val="113"/>
    <w:qFormat/>
    <w:uiPriority w:val="0"/>
    <w:pPr>
      <w:keepNext/>
      <w:keepLines/>
      <w:spacing w:before="240" w:after="64" w:line="320" w:lineRule="auto"/>
      <w:outlineLvl w:val="7"/>
    </w:pPr>
    <w:rPr>
      <w:rFonts w:ascii="Arial" w:hAnsi="Arial" w:eastAsia="黑体"/>
      <w:sz w:val="24"/>
      <w:szCs w:val="20"/>
    </w:rPr>
  </w:style>
  <w:style w:type="paragraph" w:styleId="11">
    <w:name w:val="heading 9"/>
    <w:basedOn w:val="1"/>
    <w:next w:val="7"/>
    <w:link w:val="114"/>
    <w:qFormat/>
    <w:uiPriority w:val="0"/>
    <w:pPr>
      <w:keepNext/>
      <w:keepLines/>
      <w:spacing w:before="240" w:after="64" w:line="320" w:lineRule="auto"/>
      <w:outlineLvl w:val="8"/>
    </w:pPr>
    <w:rPr>
      <w:rFonts w:ascii="Arial" w:hAnsi="Arial" w:eastAsia="黑体"/>
      <w:szCs w:val="20"/>
    </w:rPr>
  </w:style>
  <w:style w:type="character" w:default="1" w:styleId="33">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48"/>
    <w:qFormat/>
    <w:uiPriority w:val="0"/>
    <w:pPr>
      <w:ind w:firstLine="420"/>
    </w:pPr>
    <w:rPr>
      <w:sz w:val="20"/>
      <w:szCs w:val="20"/>
    </w:rPr>
  </w:style>
  <w:style w:type="paragraph" w:styleId="12">
    <w:name w:val="toc 7"/>
    <w:next w:val="1"/>
    <w:qFormat/>
    <w:uiPriority w:val="39"/>
    <w:pPr>
      <w:wordWrap w:val="0"/>
      <w:ind w:left="2125"/>
      <w:jc w:val="both"/>
    </w:pPr>
    <w:rPr>
      <w:rFonts w:ascii="Times New Roman" w:hAnsi="Times New Roman" w:eastAsia="宋体" w:cs="Times New Roman"/>
      <w:sz w:val="21"/>
      <w:lang w:val="en-US" w:eastAsia="zh-CN" w:bidi="ar-SA"/>
    </w:rPr>
  </w:style>
  <w:style w:type="paragraph" w:styleId="13">
    <w:name w:val="Document Map"/>
    <w:basedOn w:val="1"/>
    <w:link w:val="57"/>
    <w:qFormat/>
    <w:uiPriority w:val="0"/>
    <w:rPr>
      <w:rFonts w:ascii="宋体"/>
      <w:sz w:val="18"/>
      <w:szCs w:val="18"/>
    </w:rPr>
  </w:style>
  <w:style w:type="paragraph" w:styleId="14">
    <w:name w:val="annotation text"/>
    <w:basedOn w:val="1"/>
    <w:link w:val="49"/>
    <w:unhideWhenUsed/>
    <w:qFormat/>
    <w:uiPriority w:val="0"/>
  </w:style>
  <w:style w:type="paragraph" w:styleId="15">
    <w:name w:val="Body Text"/>
    <w:basedOn w:val="1"/>
    <w:link w:val="53"/>
    <w:unhideWhenUsed/>
    <w:qFormat/>
    <w:uiPriority w:val="0"/>
    <w:pPr>
      <w:spacing w:after="120"/>
    </w:pPr>
  </w:style>
  <w:style w:type="paragraph" w:styleId="16">
    <w:name w:val="toc 5"/>
    <w:basedOn w:val="1"/>
    <w:next w:val="1"/>
    <w:qFormat/>
    <w:uiPriority w:val="39"/>
    <w:pPr>
      <w:ind w:left="1680" w:leftChars="800"/>
    </w:pPr>
  </w:style>
  <w:style w:type="paragraph" w:styleId="17">
    <w:name w:val="toc 3"/>
    <w:basedOn w:val="1"/>
    <w:next w:val="1"/>
    <w:qFormat/>
    <w:uiPriority w:val="39"/>
    <w:pPr>
      <w:ind w:left="840" w:leftChars="400"/>
    </w:pPr>
  </w:style>
  <w:style w:type="paragraph" w:styleId="18">
    <w:name w:val="Plain Text"/>
    <w:basedOn w:val="1"/>
    <w:link w:val="58"/>
    <w:qFormat/>
    <w:uiPriority w:val="0"/>
    <w:rPr>
      <w:rFonts w:ascii="宋体" w:hAnsi="Courier New"/>
      <w:sz w:val="20"/>
    </w:rPr>
  </w:style>
  <w:style w:type="paragraph" w:styleId="19">
    <w:name w:val="Date"/>
    <w:basedOn w:val="1"/>
    <w:next w:val="1"/>
    <w:link w:val="54"/>
    <w:qFormat/>
    <w:uiPriority w:val="0"/>
    <w:rPr>
      <w:sz w:val="28"/>
      <w:szCs w:val="20"/>
    </w:rPr>
  </w:style>
  <w:style w:type="paragraph" w:styleId="20">
    <w:name w:val="Balloon Text"/>
    <w:basedOn w:val="1"/>
    <w:link w:val="60"/>
    <w:qFormat/>
    <w:uiPriority w:val="0"/>
    <w:rPr>
      <w:sz w:val="18"/>
      <w:szCs w:val="18"/>
    </w:rPr>
  </w:style>
  <w:style w:type="paragraph" w:styleId="21">
    <w:name w:val="footer"/>
    <w:basedOn w:val="1"/>
    <w:link w:val="51"/>
    <w:unhideWhenUsed/>
    <w:qFormat/>
    <w:uiPriority w:val="99"/>
    <w:pPr>
      <w:tabs>
        <w:tab w:val="center" w:pos="4153"/>
        <w:tab w:val="right" w:pos="8306"/>
      </w:tabs>
      <w:snapToGrid w:val="0"/>
    </w:pPr>
    <w:rPr>
      <w:rFonts w:ascii="Calibri" w:hAnsi="Calibri"/>
      <w:sz w:val="18"/>
      <w:szCs w:val="18"/>
    </w:rPr>
  </w:style>
  <w:style w:type="paragraph" w:styleId="22">
    <w:name w:val="header"/>
    <w:basedOn w:val="1"/>
    <w:link w:val="50"/>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23">
    <w:name w:val="toc 1"/>
    <w:basedOn w:val="1"/>
    <w:next w:val="1"/>
    <w:qFormat/>
    <w:uiPriority w:val="39"/>
  </w:style>
  <w:style w:type="paragraph" w:styleId="24">
    <w:name w:val="toc 4"/>
    <w:basedOn w:val="1"/>
    <w:next w:val="1"/>
    <w:qFormat/>
    <w:uiPriority w:val="39"/>
    <w:pPr>
      <w:ind w:left="1260" w:leftChars="600"/>
    </w:pPr>
  </w:style>
  <w:style w:type="paragraph" w:styleId="25">
    <w:name w:val="Body Text Indent 3"/>
    <w:basedOn w:val="1"/>
    <w:link w:val="56"/>
    <w:qFormat/>
    <w:uiPriority w:val="0"/>
    <w:pPr>
      <w:spacing w:after="120"/>
      <w:ind w:left="420" w:leftChars="200"/>
    </w:pPr>
    <w:rPr>
      <w:sz w:val="16"/>
      <w:szCs w:val="16"/>
    </w:rPr>
  </w:style>
  <w:style w:type="paragraph" w:styleId="26">
    <w:name w:val="toc 2"/>
    <w:basedOn w:val="1"/>
    <w:next w:val="1"/>
    <w:qFormat/>
    <w:uiPriority w:val="39"/>
    <w:pPr>
      <w:ind w:left="420" w:leftChars="200"/>
    </w:pPr>
  </w:style>
  <w:style w:type="paragraph" w:styleId="27">
    <w:name w:val="Message Header"/>
    <w:basedOn w:val="1"/>
    <w:link w:val="43"/>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cstheme="majorBidi"/>
    </w:rPr>
  </w:style>
  <w:style w:type="paragraph" w:styleId="28">
    <w:name w:val="Normal (Web)"/>
    <w:basedOn w:val="1"/>
    <w:next w:val="12"/>
    <w:qFormat/>
    <w:uiPriority w:val="99"/>
    <w:pPr>
      <w:spacing w:line="300" w:lineRule="auto"/>
    </w:pPr>
    <w:rPr>
      <w:szCs w:val="20"/>
    </w:rPr>
  </w:style>
  <w:style w:type="paragraph" w:styleId="29">
    <w:name w:val="Title"/>
    <w:basedOn w:val="1"/>
    <w:next w:val="1"/>
    <w:link w:val="52"/>
    <w:qFormat/>
    <w:uiPriority w:val="10"/>
    <w:pPr>
      <w:spacing w:before="240" w:after="60"/>
      <w:jc w:val="center"/>
      <w:outlineLvl w:val="0"/>
    </w:pPr>
    <w:rPr>
      <w:rFonts w:ascii="Cambria" w:hAnsi="Cambria"/>
      <w:b/>
      <w:bCs/>
      <w:sz w:val="32"/>
      <w:szCs w:val="32"/>
    </w:rPr>
  </w:style>
  <w:style w:type="paragraph" w:styleId="30">
    <w:name w:val="annotation subject"/>
    <w:basedOn w:val="14"/>
    <w:next w:val="14"/>
    <w:link w:val="59"/>
    <w:qFormat/>
    <w:uiPriority w:val="0"/>
    <w:rPr>
      <w:b/>
      <w:bCs/>
    </w:rPr>
  </w:style>
  <w:style w:type="paragraph" w:styleId="31">
    <w:name w:val="Body Text First Indent"/>
    <w:basedOn w:val="15"/>
    <w:link w:val="55"/>
    <w:qFormat/>
    <w:uiPriority w:val="0"/>
    <w:pPr>
      <w:ind w:firstLine="420" w:firstLineChars="100"/>
    </w:pPr>
    <w:rPr>
      <w:szCs w:val="20"/>
    </w:rPr>
  </w:style>
  <w:style w:type="character" w:styleId="34">
    <w:name w:val="Strong"/>
    <w:basedOn w:val="33"/>
    <w:qFormat/>
    <w:uiPriority w:val="0"/>
    <w:rPr>
      <w:b/>
    </w:rPr>
  </w:style>
  <w:style w:type="character" w:styleId="35">
    <w:name w:val="FollowedHyperlink"/>
    <w:basedOn w:val="33"/>
    <w:qFormat/>
    <w:uiPriority w:val="0"/>
    <w:rPr>
      <w:color w:val="0466CB"/>
      <w:u w:val="none"/>
    </w:rPr>
  </w:style>
  <w:style w:type="character" w:styleId="36">
    <w:name w:val="Emphasis"/>
    <w:basedOn w:val="33"/>
    <w:qFormat/>
    <w:uiPriority w:val="20"/>
    <w:rPr>
      <w:i/>
      <w:iCs/>
    </w:rPr>
  </w:style>
  <w:style w:type="character" w:styleId="37">
    <w:name w:val="HTML Definition"/>
    <w:basedOn w:val="33"/>
    <w:qFormat/>
    <w:uiPriority w:val="0"/>
    <w:rPr>
      <w:i/>
    </w:rPr>
  </w:style>
  <w:style w:type="character" w:styleId="38">
    <w:name w:val="Hyperlink"/>
    <w:qFormat/>
    <w:uiPriority w:val="99"/>
    <w:rPr>
      <w:u w:val="single"/>
    </w:rPr>
  </w:style>
  <w:style w:type="character" w:styleId="39">
    <w:name w:val="HTML Code"/>
    <w:basedOn w:val="33"/>
    <w:qFormat/>
    <w:uiPriority w:val="0"/>
    <w:rPr>
      <w:rFonts w:hint="default" w:ascii="monospace" w:hAnsi="monospace" w:eastAsia="monospace" w:cs="monospace"/>
      <w:sz w:val="21"/>
      <w:szCs w:val="21"/>
    </w:rPr>
  </w:style>
  <w:style w:type="character" w:styleId="40">
    <w:name w:val="annotation reference"/>
    <w:basedOn w:val="33"/>
    <w:qFormat/>
    <w:uiPriority w:val="0"/>
    <w:rPr>
      <w:sz w:val="21"/>
      <w:szCs w:val="21"/>
    </w:rPr>
  </w:style>
  <w:style w:type="character" w:styleId="41">
    <w:name w:val="HTML Keyboard"/>
    <w:basedOn w:val="33"/>
    <w:qFormat/>
    <w:uiPriority w:val="0"/>
    <w:rPr>
      <w:rFonts w:ascii="monospace" w:hAnsi="monospace" w:eastAsia="monospace" w:cs="monospace"/>
      <w:sz w:val="21"/>
      <w:szCs w:val="21"/>
    </w:rPr>
  </w:style>
  <w:style w:type="character" w:styleId="42">
    <w:name w:val="HTML Sample"/>
    <w:basedOn w:val="33"/>
    <w:qFormat/>
    <w:uiPriority w:val="0"/>
    <w:rPr>
      <w:rFonts w:hint="default" w:ascii="monospace" w:hAnsi="monospace" w:eastAsia="monospace" w:cs="monospace"/>
      <w:sz w:val="21"/>
      <w:szCs w:val="21"/>
    </w:rPr>
  </w:style>
  <w:style w:type="character" w:customStyle="1" w:styleId="43">
    <w:name w:val="信息标题 Char"/>
    <w:basedOn w:val="33"/>
    <w:link w:val="27"/>
    <w:qFormat/>
    <w:uiPriority w:val="99"/>
    <w:rPr>
      <w:rFonts w:ascii="Cambria" w:hAnsi="Cambria" w:cstheme="majorBidi"/>
      <w:sz w:val="24"/>
      <w:szCs w:val="24"/>
      <w:shd w:val="pct20" w:color="auto" w:fill="auto"/>
      <w:lang w:eastAsia="en-US"/>
    </w:rPr>
  </w:style>
  <w:style w:type="character" w:customStyle="1" w:styleId="44">
    <w:name w:val="标题 1 Char"/>
    <w:basedOn w:val="33"/>
    <w:link w:val="2"/>
    <w:qFormat/>
    <w:uiPriority w:val="0"/>
    <w:rPr>
      <w:rFonts w:ascii="Times New Roman" w:hAnsi="Times New Roman" w:eastAsia="宋体" w:cs="Times New Roman"/>
      <w:b/>
      <w:bCs/>
      <w:kern w:val="44"/>
      <w:sz w:val="44"/>
      <w:szCs w:val="44"/>
      <w:lang w:eastAsia="en-US"/>
    </w:rPr>
  </w:style>
  <w:style w:type="character" w:customStyle="1" w:styleId="45">
    <w:name w:val="标题 2 Char"/>
    <w:basedOn w:val="33"/>
    <w:link w:val="3"/>
    <w:qFormat/>
    <w:uiPriority w:val="0"/>
    <w:rPr>
      <w:rFonts w:ascii="Cambria" w:hAnsi="Cambria" w:eastAsia="宋体" w:cs="Times New Roman"/>
      <w:b/>
      <w:bCs/>
      <w:kern w:val="0"/>
      <w:sz w:val="32"/>
      <w:szCs w:val="32"/>
      <w:lang w:eastAsia="en-US"/>
    </w:rPr>
  </w:style>
  <w:style w:type="character" w:customStyle="1" w:styleId="46">
    <w:name w:val="标题 3 Char"/>
    <w:basedOn w:val="33"/>
    <w:link w:val="4"/>
    <w:qFormat/>
    <w:uiPriority w:val="0"/>
    <w:rPr>
      <w:rFonts w:ascii="Times New Roman" w:hAnsi="Times New Roman"/>
      <w:b/>
      <w:bCs/>
      <w:sz w:val="32"/>
      <w:szCs w:val="32"/>
    </w:rPr>
  </w:style>
  <w:style w:type="character" w:customStyle="1" w:styleId="47">
    <w:name w:val="标题 4 Char"/>
    <w:basedOn w:val="33"/>
    <w:link w:val="5"/>
    <w:semiHidden/>
    <w:qFormat/>
    <w:uiPriority w:val="0"/>
    <w:rPr>
      <w:rFonts w:ascii="Cambria" w:hAnsi="Cambria" w:eastAsia="宋体" w:cs="Times New Roman"/>
      <w:b/>
      <w:bCs/>
      <w:kern w:val="0"/>
      <w:sz w:val="28"/>
      <w:szCs w:val="28"/>
      <w:lang w:eastAsia="en-US"/>
    </w:rPr>
  </w:style>
  <w:style w:type="character" w:customStyle="1" w:styleId="48">
    <w:name w:val="正文缩进 Char"/>
    <w:link w:val="7"/>
    <w:qFormat/>
    <w:uiPriority w:val="0"/>
    <w:rPr>
      <w:rFonts w:ascii="Times New Roman" w:hAnsi="Times New Roman"/>
      <w:lang w:eastAsia="en-US"/>
    </w:rPr>
  </w:style>
  <w:style w:type="character" w:customStyle="1" w:styleId="49">
    <w:name w:val="批注文字 Char"/>
    <w:basedOn w:val="33"/>
    <w:link w:val="14"/>
    <w:qFormat/>
    <w:uiPriority w:val="0"/>
    <w:rPr>
      <w:rFonts w:ascii="Times New Roman" w:hAnsi="Times New Roman" w:eastAsia="宋体" w:cs="Times New Roman"/>
      <w:kern w:val="0"/>
      <w:sz w:val="24"/>
      <w:szCs w:val="24"/>
      <w:lang w:eastAsia="en-US"/>
    </w:rPr>
  </w:style>
  <w:style w:type="character" w:customStyle="1" w:styleId="50">
    <w:name w:val="页眉 Char"/>
    <w:basedOn w:val="33"/>
    <w:link w:val="22"/>
    <w:qFormat/>
    <w:uiPriority w:val="99"/>
    <w:rPr>
      <w:sz w:val="18"/>
      <w:szCs w:val="18"/>
    </w:rPr>
  </w:style>
  <w:style w:type="character" w:customStyle="1" w:styleId="51">
    <w:name w:val="页脚 Char"/>
    <w:basedOn w:val="33"/>
    <w:link w:val="21"/>
    <w:qFormat/>
    <w:uiPriority w:val="99"/>
    <w:rPr>
      <w:sz w:val="18"/>
      <w:szCs w:val="18"/>
    </w:rPr>
  </w:style>
  <w:style w:type="character" w:customStyle="1" w:styleId="52">
    <w:name w:val="标题 Char"/>
    <w:basedOn w:val="33"/>
    <w:link w:val="29"/>
    <w:qFormat/>
    <w:uiPriority w:val="10"/>
    <w:rPr>
      <w:rFonts w:ascii="Cambria" w:hAnsi="Cambria" w:eastAsia="宋体" w:cs="Times New Roman"/>
      <w:b/>
      <w:bCs/>
      <w:kern w:val="0"/>
      <w:sz w:val="32"/>
      <w:szCs w:val="32"/>
      <w:lang w:eastAsia="en-US"/>
    </w:rPr>
  </w:style>
  <w:style w:type="character" w:customStyle="1" w:styleId="53">
    <w:name w:val="正文文本 Char"/>
    <w:basedOn w:val="33"/>
    <w:link w:val="15"/>
    <w:qFormat/>
    <w:uiPriority w:val="0"/>
    <w:rPr>
      <w:rFonts w:ascii="Times New Roman" w:hAnsi="Times New Roman" w:eastAsia="宋体" w:cs="Times New Roman"/>
      <w:kern w:val="0"/>
      <w:sz w:val="24"/>
      <w:szCs w:val="24"/>
      <w:lang w:eastAsia="en-US"/>
    </w:rPr>
  </w:style>
  <w:style w:type="character" w:customStyle="1" w:styleId="54">
    <w:name w:val="日期 Char"/>
    <w:basedOn w:val="33"/>
    <w:link w:val="19"/>
    <w:qFormat/>
    <w:uiPriority w:val="0"/>
    <w:rPr>
      <w:rFonts w:ascii="Times New Roman" w:hAnsi="Times New Roman" w:eastAsia="宋体" w:cs="Times New Roman"/>
      <w:sz w:val="28"/>
      <w:szCs w:val="20"/>
    </w:rPr>
  </w:style>
  <w:style w:type="character" w:customStyle="1" w:styleId="55">
    <w:name w:val="正文首行缩进 Char"/>
    <w:basedOn w:val="53"/>
    <w:link w:val="31"/>
    <w:qFormat/>
    <w:uiPriority w:val="0"/>
    <w:rPr>
      <w:szCs w:val="20"/>
    </w:rPr>
  </w:style>
  <w:style w:type="character" w:customStyle="1" w:styleId="56">
    <w:name w:val="正文文本缩进 3 Char"/>
    <w:basedOn w:val="33"/>
    <w:link w:val="25"/>
    <w:qFormat/>
    <w:uiPriority w:val="0"/>
    <w:rPr>
      <w:rFonts w:ascii="Times New Roman" w:hAnsi="Times New Roman" w:eastAsia="宋体" w:cs="Times New Roman"/>
      <w:kern w:val="0"/>
      <w:sz w:val="16"/>
      <w:szCs w:val="16"/>
      <w:lang w:eastAsia="en-US"/>
    </w:rPr>
  </w:style>
  <w:style w:type="character" w:customStyle="1" w:styleId="57">
    <w:name w:val="文档结构图 Char"/>
    <w:basedOn w:val="33"/>
    <w:link w:val="13"/>
    <w:qFormat/>
    <w:uiPriority w:val="0"/>
    <w:rPr>
      <w:rFonts w:ascii="宋体" w:hAnsi="Times New Roman" w:eastAsia="宋体" w:cs="Times New Roman"/>
      <w:kern w:val="0"/>
      <w:sz w:val="18"/>
      <w:szCs w:val="18"/>
      <w:lang w:eastAsia="en-US"/>
    </w:rPr>
  </w:style>
  <w:style w:type="character" w:customStyle="1" w:styleId="58">
    <w:name w:val="纯文本 Char"/>
    <w:basedOn w:val="33"/>
    <w:link w:val="18"/>
    <w:qFormat/>
    <w:uiPriority w:val="0"/>
    <w:rPr>
      <w:rFonts w:ascii="宋体" w:hAnsi="Courier New" w:eastAsia="宋体" w:cs="Times New Roman"/>
      <w:szCs w:val="24"/>
    </w:rPr>
  </w:style>
  <w:style w:type="character" w:customStyle="1" w:styleId="59">
    <w:name w:val="批注主题 Char"/>
    <w:basedOn w:val="49"/>
    <w:link w:val="30"/>
    <w:qFormat/>
    <w:uiPriority w:val="0"/>
    <w:rPr>
      <w:b/>
      <w:bCs/>
    </w:rPr>
  </w:style>
  <w:style w:type="character" w:customStyle="1" w:styleId="60">
    <w:name w:val="批注框文本 Char"/>
    <w:basedOn w:val="33"/>
    <w:link w:val="20"/>
    <w:qFormat/>
    <w:uiPriority w:val="0"/>
    <w:rPr>
      <w:rFonts w:ascii="Times New Roman" w:hAnsi="Times New Roman" w:eastAsia="宋体" w:cs="Times New Roman"/>
      <w:kern w:val="0"/>
      <w:sz w:val="18"/>
      <w:szCs w:val="18"/>
      <w:lang w:eastAsia="en-US"/>
    </w:rPr>
  </w:style>
  <w:style w:type="paragraph" w:styleId="61">
    <w:name w:val="List Paragraph"/>
    <w:basedOn w:val="1"/>
    <w:link w:val="116"/>
    <w:qFormat/>
    <w:uiPriority w:val="0"/>
    <w:pPr>
      <w:ind w:firstLine="420" w:firstLineChars="200"/>
    </w:pPr>
  </w:style>
  <w:style w:type="character" w:customStyle="1" w:styleId="62">
    <w:name w:val="remark-title1"/>
    <w:basedOn w:val="33"/>
    <w:qFormat/>
    <w:uiPriority w:val="0"/>
    <w:rPr>
      <w:color w:val="58C697"/>
    </w:rPr>
  </w:style>
  <w:style w:type="character" w:customStyle="1" w:styleId="63">
    <w:name w:val="attchment-public1"/>
    <w:basedOn w:val="33"/>
    <w:qFormat/>
    <w:uiPriority w:val="0"/>
    <w:rPr>
      <w:color w:val="FFA55A"/>
    </w:rPr>
  </w:style>
  <w:style w:type="character" w:customStyle="1" w:styleId="64">
    <w:name w:val="edui-clickable2"/>
    <w:basedOn w:val="33"/>
    <w:qFormat/>
    <w:uiPriority w:val="0"/>
    <w:rPr>
      <w:color w:val="0000FF"/>
      <w:u w:val="single"/>
    </w:rPr>
  </w:style>
  <w:style w:type="character" w:customStyle="1" w:styleId="65">
    <w:name w:val="leaf"/>
    <w:basedOn w:val="33"/>
    <w:qFormat/>
    <w:uiPriority w:val="0"/>
  </w:style>
  <w:style w:type="character" w:customStyle="1" w:styleId="66">
    <w:name w:val="页码1"/>
    <w:qFormat/>
    <w:uiPriority w:val="0"/>
  </w:style>
  <w:style w:type="character" w:customStyle="1" w:styleId="67">
    <w:name w:val="edui-unclickable"/>
    <w:basedOn w:val="33"/>
    <w:qFormat/>
    <w:uiPriority w:val="0"/>
    <w:rPr>
      <w:color w:val="808080"/>
    </w:rPr>
  </w:style>
  <w:style w:type="character" w:customStyle="1" w:styleId="68">
    <w:name w:val="op-icon"/>
    <w:basedOn w:val="33"/>
    <w:qFormat/>
    <w:uiPriority w:val="0"/>
    <w:rPr>
      <w:bdr w:val="single" w:color="FF0000" w:sz="6" w:space="0"/>
    </w:rPr>
  </w:style>
  <w:style w:type="character" w:customStyle="1" w:styleId="69">
    <w:name w:val="root"/>
    <w:basedOn w:val="33"/>
    <w:qFormat/>
    <w:uiPriority w:val="0"/>
  </w:style>
  <w:style w:type="character" w:customStyle="1" w:styleId="70">
    <w:name w:val="flow-name-span"/>
    <w:basedOn w:val="33"/>
    <w:qFormat/>
    <w:uiPriority w:val="0"/>
  </w:style>
  <w:style w:type="character" w:customStyle="1" w:styleId="71">
    <w:name w:val="level-noral"/>
    <w:basedOn w:val="33"/>
    <w:qFormat/>
    <w:uiPriority w:val="0"/>
  </w:style>
  <w:style w:type="character" w:customStyle="1" w:styleId="72">
    <w:name w:val="level-urgent"/>
    <w:basedOn w:val="33"/>
    <w:qFormat/>
    <w:uiPriority w:val="0"/>
  </w:style>
  <w:style w:type="character" w:customStyle="1" w:styleId="73">
    <w:name w:val="level-major"/>
    <w:basedOn w:val="33"/>
    <w:qFormat/>
    <w:uiPriority w:val="0"/>
  </w:style>
  <w:style w:type="character" w:customStyle="1" w:styleId="74">
    <w:name w:val="remark-title"/>
    <w:basedOn w:val="33"/>
    <w:qFormat/>
    <w:uiPriority w:val="0"/>
  </w:style>
  <w:style w:type="character" w:customStyle="1" w:styleId="75">
    <w:name w:val="sort-name-span"/>
    <w:basedOn w:val="33"/>
    <w:qFormat/>
    <w:uiPriority w:val="0"/>
  </w:style>
  <w:style w:type="character" w:customStyle="1" w:styleId="76">
    <w:name w:val="attchment-public"/>
    <w:basedOn w:val="33"/>
    <w:qFormat/>
    <w:uiPriority w:val="0"/>
  </w:style>
  <w:style w:type="character" w:customStyle="1" w:styleId="77">
    <w:name w:val="category-text"/>
    <w:basedOn w:val="33"/>
    <w:qFormat/>
    <w:uiPriority w:val="0"/>
    <w:rPr>
      <w:b/>
      <w:shd w:val="clear" w:color="auto" w:fill="FFFFFF"/>
    </w:rPr>
  </w:style>
  <w:style w:type="character" w:customStyle="1" w:styleId="78">
    <w:name w:val="Hyperlink.0"/>
    <w:basedOn w:val="66"/>
    <w:qFormat/>
    <w:uiPriority w:val="0"/>
    <w:rPr>
      <w:rFonts w:ascii="宋体" w:hAnsi="宋体" w:eastAsia="宋体" w:cs="宋体"/>
      <w:color w:val="000000"/>
      <w:u w:color="000000"/>
      <w:rtl w:val="0"/>
    </w:rPr>
  </w:style>
  <w:style w:type="paragraph" w:customStyle="1" w:styleId="79">
    <w:name w:val="页脚1"/>
    <w:qFormat/>
    <w:uiPriority w:val="0"/>
    <w:pPr>
      <w:widowControl w:val="0"/>
      <w:tabs>
        <w:tab w:val="center" w:pos="4153"/>
        <w:tab w:val="right" w:pos="8306"/>
      </w:tabs>
      <w:spacing w:line="360" w:lineRule="atLeast"/>
      <w:jc w:val="both"/>
    </w:pPr>
    <w:rPr>
      <w:rFonts w:ascii="Times New Roman" w:hAnsi="Arial Unicode MS" w:eastAsia="Arial Unicode MS" w:cs="Arial Unicode MS"/>
      <w:color w:val="000000"/>
      <w:kern w:val="2"/>
      <w:sz w:val="18"/>
      <w:szCs w:val="18"/>
      <w:u w:color="000000"/>
      <w:lang w:val="en-US" w:eastAsia="zh-CN" w:bidi="ar-SA"/>
    </w:rPr>
  </w:style>
  <w:style w:type="paragraph" w:customStyle="1" w:styleId="80">
    <w:name w:val="Char Char Char Char1"/>
    <w:basedOn w:val="1"/>
    <w:qFormat/>
    <w:uiPriority w:val="0"/>
    <w:rPr>
      <w:rFonts w:ascii="Tahoma" w:hAnsi="Tahoma"/>
      <w:szCs w:val="20"/>
    </w:rPr>
  </w:style>
  <w:style w:type="paragraph" w:customStyle="1" w:styleId="81">
    <w:name w:val="TOC 2"/>
    <w:qFormat/>
    <w:uiPriority w:val="0"/>
    <w:pPr>
      <w:widowControl w:val="0"/>
      <w:tabs>
        <w:tab w:val="right" w:leader="dot" w:pos="8834"/>
      </w:tabs>
      <w:spacing w:line="360" w:lineRule="auto"/>
    </w:pPr>
    <w:rPr>
      <w:rFonts w:ascii="宋体" w:hAnsi="宋体" w:eastAsia="宋体" w:cs="宋体"/>
      <w:color w:val="000000"/>
      <w:sz w:val="24"/>
      <w:szCs w:val="24"/>
      <w:u w:color="000000"/>
      <w:lang w:val="en-US" w:eastAsia="zh-CN" w:bidi="ar-SA"/>
    </w:rPr>
  </w:style>
  <w:style w:type="paragraph" w:customStyle="1" w:styleId="82">
    <w:name w:val="正文缩进1"/>
    <w:qFormat/>
    <w:uiPriority w:val="0"/>
    <w:pPr>
      <w:widowControl w:val="0"/>
      <w:spacing w:line="360" w:lineRule="atLeast"/>
      <w:ind w:firstLine="420"/>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83">
    <w:name w:val="日期1"/>
    <w:next w:val="1"/>
    <w:qFormat/>
    <w:uiPriority w:val="0"/>
    <w:pPr>
      <w:widowControl w:val="0"/>
      <w:spacing w:line="360" w:lineRule="atLeast"/>
      <w:jc w:val="both"/>
    </w:pPr>
    <w:rPr>
      <w:rFonts w:ascii="黑体" w:hAnsi="黑体" w:eastAsia="黑体" w:cs="黑体"/>
      <w:color w:val="000000"/>
      <w:kern w:val="2"/>
      <w:sz w:val="32"/>
      <w:szCs w:val="32"/>
      <w:u w:color="000000"/>
      <w:lang w:val="en-US" w:eastAsia="zh-CN" w:bidi="ar-SA"/>
    </w:rPr>
  </w:style>
  <w:style w:type="paragraph" w:customStyle="1" w:styleId="84">
    <w:name w:val="正文 A"/>
    <w:qFormat/>
    <w:uiPriority w:val="0"/>
    <w:pPr>
      <w:widowControl w:val="0"/>
      <w:spacing w:line="360" w:lineRule="atLeast"/>
      <w:jc w:val="both"/>
    </w:pPr>
    <w:rPr>
      <w:rFonts w:ascii="Times New Roman" w:hAnsi="Times New Roman" w:eastAsia="Times New Roman" w:cs="Times New Roman"/>
      <w:color w:val="000000"/>
      <w:u w:color="000000"/>
      <w:lang w:val="en-US" w:eastAsia="zh-CN" w:bidi="ar-SA"/>
    </w:rPr>
  </w:style>
  <w:style w:type="paragraph" w:customStyle="1" w:styleId="85">
    <w:name w:val="TOC 标题1"/>
    <w:basedOn w:val="2"/>
    <w:next w:val="1"/>
    <w:qFormat/>
    <w:uiPriority w:val="39"/>
    <w:pPr>
      <w:spacing w:before="480" w:after="0" w:line="276" w:lineRule="auto"/>
      <w:outlineLvl w:val="9"/>
    </w:pPr>
    <w:rPr>
      <w:rFonts w:ascii="Cambria" w:hAnsi="Cambria"/>
      <w:color w:val="365F91"/>
      <w:kern w:val="0"/>
      <w:sz w:val="28"/>
      <w:szCs w:val="28"/>
    </w:rPr>
  </w:style>
  <w:style w:type="paragraph" w:customStyle="1" w:styleId="86">
    <w:name w:val="标题 21"/>
    <w:next w:val="84"/>
    <w:qFormat/>
    <w:uiPriority w:val="0"/>
    <w:pPr>
      <w:keepNext/>
      <w:keepLines/>
      <w:widowControl w:val="0"/>
      <w:spacing w:before="260" w:after="260" w:line="416" w:lineRule="atLeast"/>
      <w:jc w:val="both"/>
      <w:outlineLvl w:val="2"/>
    </w:pPr>
    <w:rPr>
      <w:rFonts w:ascii="Arial" w:hAnsi="Arial" w:eastAsia="Arial" w:cs="Arial"/>
      <w:b/>
      <w:bCs/>
      <w:color w:val="000000"/>
      <w:sz w:val="32"/>
      <w:szCs w:val="32"/>
      <w:u w:color="000000"/>
      <w:lang w:val="en-US" w:eastAsia="zh-CN" w:bidi="ar-SA"/>
    </w:rPr>
  </w:style>
  <w:style w:type="paragraph" w:customStyle="1" w:styleId="87">
    <w:name w:val="TOC 1"/>
    <w:qFormat/>
    <w:uiPriority w:val="0"/>
    <w:rPr>
      <w:rFonts w:ascii="Times New Roman" w:hAnsi="Times New Roman" w:eastAsia="Times New Roman" w:cs="Times New Roman"/>
      <w:color w:val="000000"/>
      <w:lang w:val="en-US" w:eastAsia="zh-CN" w:bidi="ar-SA"/>
    </w:rPr>
  </w:style>
  <w:style w:type="paragraph" w:customStyle="1" w:styleId="88">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89">
    <w:name w:val="正文文本1"/>
    <w:qFormat/>
    <w:uiPriority w:val="0"/>
    <w:pPr>
      <w:widowControl w:val="0"/>
      <w:spacing w:after="120" w:line="360" w:lineRule="atLeast"/>
      <w:jc w:val="both"/>
    </w:pPr>
    <w:rPr>
      <w:rFonts w:ascii="Arial Unicode MS" w:hAnsi="Arial Unicode MS" w:eastAsia="Times New Roman" w:cs="Arial Unicode MS"/>
      <w:color w:val="000000"/>
      <w:u w:color="000000"/>
      <w:lang w:val="en-US" w:eastAsia="zh-CN" w:bidi="ar-SA"/>
    </w:rPr>
  </w:style>
  <w:style w:type="paragraph" w:customStyle="1" w:styleId="90">
    <w:name w:val="页眉1"/>
    <w:qFormat/>
    <w:uiPriority w:val="0"/>
    <w:pPr>
      <w:widowControl w:val="0"/>
      <w:tabs>
        <w:tab w:val="center" w:pos="4153"/>
        <w:tab w:val="right" w:pos="8306"/>
      </w:tabs>
      <w:spacing w:line="360" w:lineRule="atLeast"/>
      <w:jc w:val="center"/>
    </w:pPr>
    <w:rPr>
      <w:rFonts w:ascii="Arial Unicode MS" w:hAnsi="Arial Unicode MS" w:eastAsia="Times New Roman" w:cs="Arial Unicode MS"/>
      <w:color w:val="000000"/>
      <w:kern w:val="2"/>
      <w:sz w:val="18"/>
      <w:szCs w:val="18"/>
      <w:u w:color="000000"/>
      <w:lang w:val="en-US" w:eastAsia="zh-CN" w:bidi="ar-SA"/>
    </w:rPr>
  </w:style>
  <w:style w:type="paragraph" w:customStyle="1" w:styleId="91">
    <w:name w:val="正文文本缩进1"/>
    <w:qFormat/>
    <w:uiPriority w:val="0"/>
    <w:pPr>
      <w:tabs>
        <w:tab w:val="left" w:pos="993"/>
        <w:tab w:val="left" w:pos="1134"/>
      </w:tabs>
      <w:spacing w:line="500" w:lineRule="exact"/>
      <w:ind w:firstLine="567"/>
      <w:jc w:val="both"/>
    </w:pPr>
    <w:rPr>
      <w:rFonts w:ascii="宋体" w:hAnsi="宋体" w:eastAsia="宋体" w:cs="宋体"/>
      <w:color w:val="000000"/>
      <w:sz w:val="28"/>
      <w:szCs w:val="28"/>
      <w:u w:color="000000"/>
      <w:lang w:val="en-US" w:eastAsia="zh-CN" w:bidi="ar-SA"/>
    </w:rPr>
  </w:style>
  <w:style w:type="paragraph" w:customStyle="1" w:styleId="92">
    <w:name w:val="x13"/>
    <w:basedOn w:val="1"/>
    <w:qFormat/>
    <w:uiPriority w:val="0"/>
    <w:pPr>
      <w:snapToGrid w:val="0"/>
      <w:spacing w:line="360" w:lineRule="auto"/>
      <w:ind w:firstLine="482" w:firstLineChars="200"/>
      <w:outlineLvl w:val="0"/>
    </w:pPr>
    <w:rPr>
      <w:rFonts w:ascii="仿宋_GB2312" w:hAnsi="宋体" w:eastAsia="仿宋_GB2312" w:cs="Arial"/>
      <w:b/>
      <w:snapToGrid w:val="0"/>
    </w:rPr>
  </w:style>
  <w:style w:type="paragraph" w:customStyle="1" w:styleId="93">
    <w:name w:val="样式 标题 1 + 宋体 居中 段前: 48 磅 段后: 12 磅 行距: 1.5 倍行距"/>
    <w:qFormat/>
    <w:uiPriority w:val="0"/>
    <w:pPr>
      <w:keepNext/>
      <w:keepLines/>
      <w:widowControl w:val="0"/>
      <w:spacing w:before="1560" w:after="240" w:line="360" w:lineRule="auto"/>
      <w:jc w:val="center"/>
      <w:outlineLvl w:val="3"/>
    </w:pPr>
    <w:rPr>
      <w:rFonts w:ascii="宋体" w:hAnsi="宋体" w:eastAsia="宋体" w:cs="宋体"/>
      <w:b/>
      <w:bCs/>
      <w:color w:val="000000"/>
      <w:kern w:val="2"/>
      <w:sz w:val="44"/>
      <w:szCs w:val="44"/>
      <w:u w:color="000000"/>
      <w:lang w:val="en-US" w:eastAsia="zh-CN" w:bidi="ar-SA"/>
    </w:rPr>
  </w:style>
  <w:style w:type="paragraph" w:customStyle="1" w:styleId="94">
    <w:name w:val="Default"/>
    <w:qFormat/>
    <w:uiPriority w:val="0"/>
    <w:pPr>
      <w:widowControl w:val="0"/>
      <w:spacing w:line="360" w:lineRule="atLeast"/>
      <w:jc w:val="both"/>
    </w:pPr>
    <w:rPr>
      <w:rFonts w:ascii="宋体" w:hAnsi="宋体" w:eastAsia="宋体" w:cs="宋体"/>
      <w:color w:val="000000"/>
      <w:sz w:val="24"/>
      <w:szCs w:val="24"/>
      <w:u w:color="000000"/>
      <w:lang w:val="en-US" w:eastAsia="zh-CN" w:bidi="ar-SA"/>
    </w:rPr>
  </w:style>
  <w:style w:type="paragraph" w:customStyle="1" w:styleId="95">
    <w:name w:val="TOC 5"/>
    <w:qFormat/>
    <w:uiPriority w:val="0"/>
    <w:rPr>
      <w:rFonts w:ascii="Times New Roman" w:hAnsi="Times New Roman" w:eastAsia="Times New Roman" w:cs="Times New Roman"/>
      <w:color w:val="000000"/>
      <w:lang w:val="en-US" w:eastAsia="zh-CN" w:bidi="ar-SA"/>
    </w:rPr>
  </w:style>
  <w:style w:type="paragraph" w:customStyle="1" w:styleId="96">
    <w:name w:val="目录 11"/>
    <w:next w:val="84"/>
    <w:qFormat/>
    <w:uiPriority w:val="0"/>
    <w:pPr>
      <w:widowControl w:val="0"/>
      <w:tabs>
        <w:tab w:val="right" w:leader="dot" w:pos="8834"/>
      </w:tabs>
      <w:spacing w:before="240" w:after="120" w:line="360" w:lineRule="atLeast"/>
    </w:pPr>
    <w:rPr>
      <w:rFonts w:ascii="宋体" w:hAnsi="宋体" w:eastAsia="宋体" w:cs="宋体"/>
      <w:color w:val="000000"/>
      <w:sz w:val="24"/>
      <w:szCs w:val="24"/>
      <w:u w:color="000000"/>
      <w:lang w:val="en-US" w:eastAsia="zh-CN" w:bidi="ar-SA"/>
    </w:rPr>
  </w:style>
  <w:style w:type="paragraph" w:customStyle="1" w:styleId="97">
    <w:name w:val="标3"/>
    <w:qFormat/>
    <w:uiPriority w:val="0"/>
    <w:pPr>
      <w:widowControl w:val="0"/>
      <w:spacing w:before="50"/>
      <w:jc w:val="both"/>
      <w:outlineLvl w:val="0"/>
    </w:pPr>
    <w:rPr>
      <w:rFonts w:ascii="Arial Narrow" w:hAnsi="Arial Narrow" w:eastAsia="Arial Narrow" w:cs="Arial Narrow"/>
      <w:color w:val="000000"/>
      <w:kern w:val="2"/>
      <w:sz w:val="28"/>
      <w:szCs w:val="28"/>
      <w:u w:color="000000"/>
      <w:lang w:val="en-US" w:eastAsia="zh-CN" w:bidi="ar-SA"/>
    </w:rPr>
  </w:style>
  <w:style w:type="paragraph" w:customStyle="1" w:styleId="98">
    <w:name w:val="列出段落1"/>
    <w:qFormat/>
    <w:uiPriority w:val="0"/>
    <w:pPr>
      <w:widowControl w:val="0"/>
      <w:ind w:firstLine="420"/>
      <w:jc w:val="both"/>
    </w:pPr>
    <w:rPr>
      <w:rFonts w:ascii="Calibri" w:hAnsi="Calibri" w:eastAsia="Calibri" w:cs="Calibri"/>
      <w:color w:val="000000"/>
      <w:kern w:val="2"/>
      <w:sz w:val="21"/>
      <w:szCs w:val="21"/>
      <w:u w:color="000000"/>
      <w:lang w:val="en-US" w:eastAsia="zh-CN" w:bidi="ar-SA"/>
    </w:rPr>
  </w:style>
  <w:style w:type="paragraph" w:customStyle="1" w:styleId="99">
    <w:name w:val="TOC 3"/>
    <w:qFormat/>
    <w:uiPriority w:val="0"/>
    <w:pPr>
      <w:widowControl w:val="0"/>
      <w:tabs>
        <w:tab w:val="right" w:leader="dot" w:pos="8834"/>
      </w:tabs>
      <w:spacing w:line="360" w:lineRule="auto"/>
      <w:ind w:left="200"/>
    </w:pPr>
    <w:rPr>
      <w:rFonts w:ascii="宋体" w:hAnsi="宋体" w:eastAsia="宋体" w:cs="宋体"/>
      <w:b/>
      <w:bCs/>
      <w:color w:val="000000"/>
      <w:sz w:val="24"/>
      <w:szCs w:val="24"/>
      <w:u w:color="000000"/>
      <w:lang w:val="en-US" w:eastAsia="zh-CN" w:bidi="ar-SA"/>
    </w:rPr>
  </w:style>
  <w:style w:type="paragraph" w:customStyle="1" w:styleId="100">
    <w:name w:val="样式3"/>
    <w:basedOn w:val="18"/>
    <w:link w:val="101"/>
    <w:qFormat/>
    <w:uiPriority w:val="0"/>
    <w:pPr>
      <w:spacing w:line="20" w:lineRule="atLeast"/>
      <w:outlineLvl w:val="4"/>
    </w:pPr>
    <w:rPr>
      <w:rFonts w:hAnsi="宋体"/>
      <w:color w:val="000000"/>
      <w:sz w:val="28"/>
      <w:szCs w:val="28"/>
      <w:u w:color="000000"/>
    </w:rPr>
  </w:style>
  <w:style w:type="character" w:customStyle="1" w:styleId="101">
    <w:name w:val="样式3 Char"/>
    <w:link w:val="100"/>
    <w:qFormat/>
    <w:uiPriority w:val="0"/>
    <w:rPr>
      <w:rFonts w:ascii="宋体" w:hAnsi="宋体"/>
      <w:color w:val="000000"/>
      <w:sz w:val="28"/>
      <w:szCs w:val="28"/>
      <w:u w:color="000000"/>
    </w:rPr>
  </w:style>
  <w:style w:type="paragraph" w:customStyle="1" w:styleId="102">
    <w:name w:val="标题 11"/>
    <w:next w:val="84"/>
    <w:qFormat/>
    <w:uiPriority w:val="0"/>
    <w:pPr>
      <w:keepNext/>
      <w:keepLines/>
      <w:widowControl w:val="0"/>
      <w:spacing w:before="340" w:after="330" w:line="578" w:lineRule="atLeast"/>
      <w:jc w:val="both"/>
      <w:outlineLvl w:val="1"/>
    </w:pPr>
    <w:rPr>
      <w:rFonts w:ascii="Times New Roman" w:hAnsi="Times New Roman" w:eastAsia="Times New Roman" w:cs="Times New Roman"/>
      <w:b/>
      <w:bCs/>
      <w:color w:val="000000"/>
      <w:kern w:val="44"/>
      <w:sz w:val="44"/>
      <w:szCs w:val="44"/>
      <w:u w:color="000000"/>
      <w:lang w:val="en-US" w:eastAsia="zh-CN" w:bidi="ar-SA"/>
    </w:rPr>
  </w:style>
  <w:style w:type="paragraph" w:customStyle="1" w:styleId="103">
    <w:name w:val="xl27"/>
    <w:qFormat/>
    <w:uiPriority w:val="0"/>
    <w:pPr>
      <w:spacing w:before="100" w:after="100"/>
      <w:jc w:val="center"/>
    </w:pPr>
    <w:rPr>
      <w:rFonts w:ascii="宋体" w:hAnsi="宋体" w:eastAsia="宋体" w:cs="宋体"/>
      <w:color w:val="000000"/>
      <w:sz w:val="24"/>
      <w:szCs w:val="24"/>
      <w:u w:color="000000"/>
      <w:lang w:val="en-US" w:eastAsia="zh-CN" w:bidi="ar-SA"/>
    </w:rPr>
  </w:style>
  <w:style w:type="paragraph" w:customStyle="1" w:styleId="104">
    <w:name w:val="页眉与页脚"/>
    <w:qFormat/>
    <w:uiPriority w:val="0"/>
    <w:pPr>
      <w:tabs>
        <w:tab w:val="right" w:pos="9020"/>
      </w:tabs>
    </w:pPr>
    <w:rPr>
      <w:rFonts w:ascii="Helvetica" w:hAnsi="Arial Unicode MS" w:eastAsia="Arial Unicode MS" w:cs="Arial Unicode MS"/>
      <w:color w:val="000000"/>
      <w:sz w:val="24"/>
      <w:szCs w:val="24"/>
      <w:lang w:val="en-US" w:eastAsia="zh-CN" w:bidi="ar-SA"/>
    </w:rPr>
  </w:style>
  <w:style w:type="paragraph" w:customStyle="1" w:styleId="105">
    <w:name w:val="pan4"/>
    <w:basedOn w:val="1"/>
    <w:qFormat/>
    <w:uiPriority w:val="0"/>
    <w:pPr>
      <w:tabs>
        <w:tab w:val="left" w:pos="851"/>
        <w:tab w:val="left" w:pos="1680"/>
      </w:tabs>
      <w:spacing w:line="360" w:lineRule="auto"/>
      <w:ind w:left="851" w:hanging="851"/>
      <w:outlineLvl w:val="3"/>
    </w:pPr>
    <w:rPr>
      <w:rFonts w:ascii="黑体" w:hAnsi="黑体" w:eastAsia="黑体"/>
      <w:sz w:val="28"/>
      <w:szCs w:val="28"/>
    </w:rPr>
  </w:style>
  <w:style w:type="character" w:customStyle="1" w:styleId="106">
    <w:name w:val="纯文本 Char1"/>
    <w:qFormat/>
    <w:uiPriority w:val="0"/>
    <w:rPr>
      <w:rFonts w:ascii="宋体" w:hAnsi="宋体" w:eastAsia="宋体" w:cs="宋体"/>
      <w:kern w:val="2"/>
      <w:sz w:val="21"/>
      <w:lang w:val="en-US" w:eastAsia="zh-CN" w:bidi="ar-SA"/>
    </w:rPr>
  </w:style>
  <w:style w:type="paragraph" w:customStyle="1" w:styleId="107">
    <w:name w:val="样式2"/>
    <w:basedOn w:val="15"/>
    <w:qFormat/>
    <w:uiPriority w:val="0"/>
    <w:pPr>
      <w:spacing w:after="0" w:line="500" w:lineRule="exact"/>
      <w:jc w:val="center"/>
    </w:pPr>
    <w:rPr>
      <w:rFonts w:ascii="宋体" w:hAnsi="宋体"/>
      <w:b/>
      <w:kern w:val="44"/>
      <w:sz w:val="32"/>
      <w:szCs w:val="32"/>
      <w:lang w:val="en-GB"/>
    </w:rPr>
  </w:style>
  <w:style w:type="character" w:customStyle="1" w:styleId="108">
    <w:name w:val="Comment Text Char"/>
    <w:qFormat/>
    <w:locked/>
    <w:uiPriority w:val="0"/>
    <w:rPr>
      <w:rFonts w:ascii="黑体" w:hAnsi="黑体" w:eastAsia="宋体"/>
      <w:kern w:val="2"/>
      <w:sz w:val="21"/>
      <w:szCs w:val="24"/>
      <w:lang w:val="en-US" w:eastAsia="zh-CN" w:bidi="ar-SA"/>
    </w:rPr>
  </w:style>
  <w:style w:type="character" w:customStyle="1" w:styleId="109">
    <w:name w:val="textcontents"/>
    <w:basedOn w:val="33"/>
    <w:qFormat/>
    <w:uiPriority w:val="0"/>
  </w:style>
  <w:style w:type="character" w:customStyle="1" w:styleId="110">
    <w:name w:val="标题 5 Char"/>
    <w:basedOn w:val="33"/>
    <w:link w:val="6"/>
    <w:qFormat/>
    <w:uiPriority w:val="0"/>
    <w:rPr>
      <w:rFonts w:ascii="Times New Roman" w:hAnsi="Times New Roman"/>
      <w:b/>
      <w:kern w:val="2"/>
      <w:sz w:val="28"/>
    </w:rPr>
  </w:style>
  <w:style w:type="character" w:customStyle="1" w:styleId="111">
    <w:name w:val="标题 6 Char"/>
    <w:basedOn w:val="33"/>
    <w:link w:val="8"/>
    <w:qFormat/>
    <w:uiPriority w:val="0"/>
    <w:rPr>
      <w:rFonts w:ascii="Arial" w:hAnsi="Arial" w:eastAsia="黑体"/>
      <w:b/>
      <w:kern w:val="2"/>
      <w:sz w:val="24"/>
    </w:rPr>
  </w:style>
  <w:style w:type="character" w:customStyle="1" w:styleId="112">
    <w:name w:val="标题 7 Char"/>
    <w:basedOn w:val="33"/>
    <w:link w:val="9"/>
    <w:qFormat/>
    <w:uiPriority w:val="0"/>
    <w:rPr>
      <w:rFonts w:ascii="Times New Roman" w:hAnsi="Times New Roman"/>
      <w:b/>
      <w:kern w:val="2"/>
      <w:sz w:val="24"/>
    </w:rPr>
  </w:style>
  <w:style w:type="character" w:customStyle="1" w:styleId="113">
    <w:name w:val="标题 8 Char"/>
    <w:basedOn w:val="33"/>
    <w:link w:val="10"/>
    <w:qFormat/>
    <w:uiPriority w:val="0"/>
    <w:rPr>
      <w:rFonts w:ascii="Arial" w:hAnsi="Arial" w:eastAsia="黑体"/>
      <w:kern w:val="2"/>
      <w:sz w:val="24"/>
    </w:rPr>
  </w:style>
  <w:style w:type="character" w:customStyle="1" w:styleId="114">
    <w:name w:val="标题 9 Char"/>
    <w:basedOn w:val="33"/>
    <w:link w:val="11"/>
    <w:qFormat/>
    <w:uiPriority w:val="0"/>
    <w:rPr>
      <w:rFonts w:ascii="Arial" w:hAnsi="Arial" w:eastAsia="黑体"/>
      <w:kern w:val="2"/>
      <w:sz w:val="21"/>
    </w:rPr>
  </w:style>
  <w:style w:type="character" w:customStyle="1" w:styleId="115">
    <w:name w:val="NormalCharacter"/>
    <w:semiHidden/>
    <w:qFormat/>
    <w:uiPriority w:val="0"/>
    <w:rPr>
      <w:kern w:val="2"/>
      <w:sz w:val="21"/>
      <w:szCs w:val="24"/>
      <w:lang w:val="en-US" w:eastAsia="zh-CN" w:bidi="ar-SA"/>
    </w:rPr>
  </w:style>
  <w:style w:type="character" w:customStyle="1" w:styleId="116">
    <w:name w:val="列出段落 Char"/>
    <w:link w:val="61"/>
    <w:qFormat/>
    <w:uiPriority w:val="0"/>
    <w:rPr>
      <w:rFonts w:ascii="Times New Roman" w:hAnsi="Times New Roman"/>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7</Pages>
  <Words>437</Words>
  <Characters>622</Characters>
  <Lines>19</Lines>
  <Paragraphs>5</Paragraphs>
  <TotalTime>1</TotalTime>
  <ScaleCrop>false</ScaleCrop>
  <LinksUpToDate>false</LinksUpToDate>
  <CharactersWithSpaces>654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2023-07-31T05:07:00Z</dcterms:created>
  <dc:creator>dreamsummit</dc:creator>
  <cp:lastModifiedBy>陈联辉</cp:lastModifiedBy>
  <cp:lastPrinted>2023-08-01T01:35:00Z</cp:lastPrinted>
  <dcterms:modified xsi:type="dcterms:W3CDTF">2025-11-26T02:36:26Z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32F2E68351B842B89672814AF6E651C1_13</vt:lpwstr>
  </property>
  <property fmtid="{D5CDD505-2E9C-101B-9397-08002B2CF9AE}" pid="4" name="KSOTemplateDocerSaveRecord">
    <vt:lpwstr>eyJoZGlkIjoiNzM3MjNiZDc5ZjQ2YTJhZWIyMjNjZGE1YzM5ZjdjYjIiLCJ1c2VySWQiOiIyNDM5NDE1NTgifQ==</vt:lpwstr>
  </property>
</Properties>
</file>